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A" w:rsidRDefault="001D6898">
      <w:pPr>
        <w:rPr>
          <w:rFonts w:ascii="Times New Roman" w:hAnsi="Times New Roman" w:cs="Times New Roman"/>
          <w:b/>
          <w:sz w:val="24"/>
        </w:rPr>
      </w:pPr>
      <w:r w:rsidRPr="001D6898">
        <w:rPr>
          <w:rFonts w:ascii="Times New Roman" w:hAnsi="Times New Roman" w:cs="Times New Roman"/>
          <w:b/>
          <w:sz w:val="24"/>
        </w:rPr>
        <w:t>Figures</w:t>
      </w:r>
      <w:r>
        <w:rPr>
          <w:rFonts w:ascii="Times New Roman" w:hAnsi="Times New Roman" w:cs="Times New Roman"/>
          <w:b/>
          <w:sz w:val="24"/>
        </w:rPr>
        <w:t>:-</w:t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lang w:eastAsia="en-IN"/>
        </w:rPr>
        <w:drawing>
          <wp:inline distT="0" distB="0" distL="0" distR="0" wp14:anchorId="7747B4BD" wp14:editId="14EDA615">
            <wp:extent cx="3821501" cy="3084801"/>
            <wp:effectExtent l="95250" t="95250" r="102870" b="97155"/>
            <wp:docPr id="4" name="Picture 4" descr="E:\DCIM\118___04\IMG_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8___04\IMG_3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/>
                    <a:stretch/>
                  </pic:blipFill>
                  <pic:spPr bwMode="auto">
                    <a:xfrm>
                      <a:off x="0" y="0"/>
                      <a:ext cx="3825628" cy="308813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898" w:rsidRDefault="001D6898" w:rsidP="001D6898">
      <w:pPr>
        <w:tabs>
          <w:tab w:val="center" w:pos="4513"/>
          <w:tab w:val="right" w:pos="902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Fig 1: SBO capsules</w:t>
      </w:r>
      <w:r>
        <w:rPr>
          <w:rFonts w:ascii="Times New Roman" w:hAnsi="Times New Roman" w:cs="Times New Roman"/>
          <w:b/>
          <w:sz w:val="28"/>
        </w:rPr>
        <w:tab/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en-IN"/>
        </w:rPr>
        <w:drawing>
          <wp:inline distT="0" distB="0" distL="0" distR="0" wp14:anchorId="7C092AFF" wp14:editId="06C381C2">
            <wp:extent cx="5253487" cy="2562045"/>
            <wp:effectExtent l="0" t="0" r="23495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Fig 2:- shows no statistical significant difference between group A and B after the treatment.  </w:t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</w:t>
      </w:r>
      <w:r>
        <w:rPr>
          <w:noProof/>
          <w:lang w:eastAsia="en-IN"/>
        </w:rPr>
        <w:drawing>
          <wp:inline distT="0" distB="0" distL="0" distR="0" wp14:anchorId="1555B264" wp14:editId="13A961AD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Fig 3:- shows no significant difference between group A and B after the treatment  </w:t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D7ED" wp14:editId="0EAC9424">
                <wp:simplePos x="0" y="0"/>
                <wp:positionH relativeFrom="column">
                  <wp:posOffset>1637340</wp:posOffset>
                </wp:positionH>
                <wp:positionV relativeFrom="paragraph">
                  <wp:posOffset>2322756</wp:posOffset>
                </wp:positionV>
                <wp:extent cx="2295761" cy="425036"/>
                <wp:effectExtent l="0" t="0" r="952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761" cy="42503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898" w:rsidRPr="000D3CB3" w:rsidRDefault="001D6898" w:rsidP="001D6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3C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Gingival Index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28.9pt;margin-top:182.9pt;width:180.7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" fillcolor="white [3201]" stroked="f" strokeweight="2pt">
                <v:textbox>
                  <w:txbxContent>
                    <w:p w:rsidR="001D6898" w:rsidRPr="000D3CB3" w:rsidRDefault="001D6898" w:rsidP="001D68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D3CB3">
                        <w:rPr>
                          <w:rFonts w:ascii="Times New Roman" w:hAnsi="Times New Roman" w:cs="Times New Roman"/>
                          <w:sz w:val="24"/>
                        </w:rPr>
                        <w:t>Gingival Index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noProof/>
          <w:lang w:eastAsia="en-IN"/>
        </w:rPr>
        <w:drawing>
          <wp:inline distT="0" distB="0" distL="0" distR="0" wp14:anchorId="0DBBD1EB" wp14:editId="7970D79E">
            <wp:extent cx="5146158" cy="2743200"/>
            <wp:effectExtent l="0" t="0" r="1651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Fig 4:- shows no significant difference between group A and B after the treatment  </w:t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</w:t>
      </w:r>
      <w:r>
        <w:rPr>
          <w:noProof/>
          <w:lang w:eastAsia="en-IN"/>
        </w:rPr>
        <w:drawing>
          <wp:inline distT="0" distB="0" distL="0" distR="0" wp14:anchorId="790CD1E4" wp14:editId="7BDCFDA7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Fig 5: showing statistical difference between group A and B after the treatment suggesting some regenerative potential of SBO oil.</w:t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Default="002D12D1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bookmarkStart w:id="0" w:name="_GoBack"/>
      <w:bookmarkEnd w:id="0"/>
      <w:r w:rsidR="001D6898">
        <w:rPr>
          <w:noProof/>
          <w:lang w:eastAsia="en-IN"/>
        </w:rPr>
        <w:drawing>
          <wp:inline distT="0" distB="0" distL="0" distR="0" wp14:anchorId="67FBEA2C" wp14:editId="46539996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Fig 6:- shows no significant difference between group A and B after the treatment.</w:t>
      </w:r>
    </w:p>
    <w:p w:rsidR="001D6898" w:rsidRDefault="001D6898" w:rsidP="001D6898">
      <w:pPr>
        <w:rPr>
          <w:rFonts w:ascii="Times New Roman" w:hAnsi="Times New Roman" w:cs="Times New Roman"/>
          <w:b/>
          <w:sz w:val="28"/>
        </w:rPr>
      </w:pPr>
    </w:p>
    <w:p w:rsidR="001D6898" w:rsidRPr="001D6898" w:rsidRDefault="001D6898">
      <w:pPr>
        <w:rPr>
          <w:rFonts w:ascii="Times New Roman" w:hAnsi="Times New Roman" w:cs="Times New Roman"/>
          <w:b/>
          <w:sz w:val="24"/>
        </w:rPr>
      </w:pPr>
    </w:p>
    <w:sectPr w:rsidR="001D6898" w:rsidRPr="001D6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7A"/>
    <w:rsid w:val="001D6898"/>
    <w:rsid w:val="002D12D1"/>
    <w:rsid w:val="00B87F7A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HATAKSHI\Documents\pg\SBO\hopefully%20submit\my%20plots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HATAKSHI\Documents\pg\SBO\hopefully%20submit\my%20plots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SHATAKSHI\Documents\pg\SBO\hopefully%20submit\my%20plots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SHATAKSHI\Documents\pg\SBO\hopefully%20submit\my%20plots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SHATAKSHI\Documents\pg\SBO\hopefully%20submit\my%20plo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72497017851E-2"/>
          <c:y val="5.1400554097404488E-2"/>
          <c:w val="0.80603208059275511"/>
          <c:h val="0.67984179060950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Sheet3!$A$6</c:f>
              <c:strCache>
                <c:ptCount val="1"/>
                <c:pt idx="0">
                  <c:v>pre</c:v>
                </c:pt>
              </c:strCache>
            </c:strRef>
          </c:tx>
          <c:invertIfNegative val="0"/>
          <c:cat>
            <c:strRef>
              <c:f>Sheet3!$B$5:$D$5</c:f>
              <c:strCache>
                <c:ptCount val="3"/>
                <c:pt idx="1">
                  <c:v>group A</c:v>
                </c:pt>
                <c:pt idx="2">
                  <c:v>group B</c:v>
                </c:pt>
              </c:strCache>
            </c:strRef>
          </c:cat>
          <c:val>
            <c:numRef>
              <c:f>Sheet3!$B$6:$D$6</c:f>
              <c:numCache>
                <c:formatCode>General</c:formatCode>
                <c:ptCount val="3"/>
                <c:pt idx="1">
                  <c:v>2.38</c:v>
                </c:pt>
                <c:pt idx="2">
                  <c:v>2.06</c:v>
                </c:pt>
              </c:numCache>
            </c:numRef>
          </c:val>
        </c:ser>
        <c:ser>
          <c:idx val="1"/>
          <c:order val="1"/>
          <c:tx>
            <c:strRef>
              <c:f>Sheet3!$A$7</c:f>
              <c:strCache>
                <c:ptCount val="1"/>
                <c:pt idx="0">
                  <c:v>post</c:v>
                </c:pt>
              </c:strCache>
            </c:strRef>
          </c:tx>
          <c:invertIfNegative val="0"/>
          <c:cat>
            <c:strRef>
              <c:f>Sheet3!$B$5:$D$5</c:f>
              <c:strCache>
                <c:ptCount val="3"/>
                <c:pt idx="1">
                  <c:v>group A</c:v>
                </c:pt>
                <c:pt idx="2">
                  <c:v>group B</c:v>
                </c:pt>
              </c:strCache>
            </c:strRef>
          </c:cat>
          <c:val>
            <c:numRef>
              <c:f>Sheet3!$B$7:$D$7</c:f>
              <c:numCache>
                <c:formatCode>General</c:formatCode>
                <c:ptCount val="3"/>
                <c:pt idx="1">
                  <c:v>1.1000000000000001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332224"/>
        <c:axId val="120870016"/>
        <c:axId val="0"/>
      </c:bar3DChart>
      <c:catAx>
        <c:axId val="11933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70016"/>
        <c:crosses val="autoZero"/>
        <c:auto val="1"/>
        <c:lblAlgn val="ctr"/>
        <c:lblOffset val="100"/>
        <c:noMultiLvlLbl val="0"/>
      </c:catAx>
      <c:valAx>
        <c:axId val="12087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33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88407699037624E-2"/>
          <c:y val="5.1400554097404488E-2"/>
          <c:w val="0.78419335083114605"/>
          <c:h val="0.670582531350247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Sheet3!$A$21</c:f>
              <c:strCache>
                <c:ptCount val="1"/>
                <c:pt idx="0">
                  <c:v>pre</c:v>
                </c:pt>
              </c:strCache>
            </c:strRef>
          </c:tx>
          <c:invertIfNegative val="0"/>
          <c:cat>
            <c:strRef>
              <c:f>Sheet3!$B$20:$D$20</c:f>
              <c:strCache>
                <c:ptCount val="3"/>
                <c:pt idx="1">
                  <c:v>group A</c:v>
                </c:pt>
                <c:pt idx="2">
                  <c:v>group B</c:v>
                </c:pt>
              </c:strCache>
            </c:strRef>
          </c:cat>
          <c:val>
            <c:numRef>
              <c:f>Sheet3!$B$21:$D$21</c:f>
              <c:numCache>
                <c:formatCode>General</c:formatCode>
                <c:ptCount val="3"/>
                <c:pt idx="1">
                  <c:v>86.54</c:v>
                </c:pt>
                <c:pt idx="2">
                  <c:v>81.42</c:v>
                </c:pt>
              </c:numCache>
            </c:numRef>
          </c:val>
        </c:ser>
        <c:ser>
          <c:idx val="1"/>
          <c:order val="1"/>
          <c:tx>
            <c:strRef>
              <c:f>Sheet3!$A$22</c:f>
              <c:strCache>
                <c:ptCount val="1"/>
                <c:pt idx="0">
                  <c:v>post</c:v>
                </c:pt>
              </c:strCache>
            </c:strRef>
          </c:tx>
          <c:invertIfNegative val="0"/>
          <c:cat>
            <c:strRef>
              <c:f>Sheet3!$B$20:$D$20</c:f>
              <c:strCache>
                <c:ptCount val="3"/>
                <c:pt idx="1">
                  <c:v>group A</c:v>
                </c:pt>
                <c:pt idx="2">
                  <c:v>group B</c:v>
                </c:pt>
              </c:strCache>
            </c:strRef>
          </c:cat>
          <c:val>
            <c:numRef>
              <c:f>Sheet3!$B$22:$D$22</c:f>
              <c:numCache>
                <c:formatCode>General</c:formatCode>
                <c:ptCount val="3"/>
                <c:pt idx="1">
                  <c:v>30.26</c:v>
                </c:pt>
                <c:pt idx="2">
                  <c:v>29.36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320768"/>
        <c:axId val="144322560"/>
        <c:axId val="0"/>
      </c:bar3DChart>
      <c:catAx>
        <c:axId val="144320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22560"/>
        <c:crosses val="autoZero"/>
        <c:auto val="1"/>
        <c:lblAlgn val="ctr"/>
        <c:lblOffset val="100"/>
        <c:noMultiLvlLbl val="0"/>
      </c:catAx>
      <c:valAx>
        <c:axId val="1443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2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89699263900007E-2"/>
          <c:y val="5.1400554097404488E-2"/>
          <c:w val="0.77982293180775897"/>
          <c:h val="0.675212160979877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pre</c:v>
                </c:pt>
              </c:strCache>
            </c:strRef>
          </c:tx>
          <c:invertIfNegative val="0"/>
          <c:cat>
            <c:strRef>
              <c:f>Sheet3!$B$1:$D$1</c:f>
              <c:strCache>
                <c:ptCount val="3"/>
                <c:pt idx="1">
                  <c:v>group  A</c:v>
                </c:pt>
                <c:pt idx="2">
                  <c:v>group B</c:v>
                </c:pt>
              </c:strCache>
            </c:strRef>
          </c:cat>
          <c:val>
            <c:numRef>
              <c:f>Sheet3!$B$2:$D$2</c:f>
              <c:numCache>
                <c:formatCode>General</c:formatCode>
                <c:ptCount val="3"/>
                <c:pt idx="1">
                  <c:v>2.41</c:v>
                </c:pt>
                <c:pt idx="2">
                  <c:v>2.0299999999999998</c:v>
                </c:pt>
              </c:numCache>
            </c:numRef>
          </c:val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post</c:v>
                </c:pt>
              </c:strCache>
            </c:strRef>
          </c:tx>
          <c:invertIfNegative val="0"/>
          <c:cat>
            <c:strRef>
              <c:f>Sheet3!$B$1:$D$1</c:f>
              <c:strCache>
                <c:ptCount val="3"/>
                <c:pt idx="1">
                  <c:v>group  A</c:v>
                </c:pt>
                <c:pt idx="2">
                  <c:v>group B</c:v>
                </c:pt>
              </c:strCache>
            </c:strRef>
          </c:cat>
          <c:val>
            <c:numRef>
              <c:f>Sheet3!$B$3:$D$3</c:f>
              <c:numCache>
                <c:formatCode>General</c:formatCode>
                <c:ptCount val="3"/>
                <c:pt idx="1">
                  <c:v>1.05</c:v>
                </c:pt>
                <c:pt idx="2">
                  <c:v>1.07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356864"/>
        <c:axId val="144358400"/>
        <c:axId val="0"/>
      </c:bar3DChart>
      <c:catAx>
        <c:axId val="14435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58400"/>
        <c:crosses val="autoZero"/>
        <c:auto val="1"/>
        <c:lblAlgn val="ctr"/>
        <c:lblOffset val="100"/>
        <c:noMultiLvlLbl val="0"/>
      </c:catAx>
      <c:valAx>
        <c:axId val="14435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5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113517060367471E-2"/>
          <c:y val="2.8252405949256341E-2"/>
          <c:w val="0.81606824146981627"/>
          <c:h val="0.67984179060950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Sheet3!$A$11</c:f>
              <c:strCache>
                <c:ptCount val="1"/>
                <c:pt idx="0">
                  <c:v>pre</c:v>
                </c:pt>
              </c:strCache>
            </c:strRef>
          </c:tx>
          <c:invertIfNegative val="0"/>
          <c:cat>
            <c:strRef>
              <c:f>Sheet3!$B$10:$D$10</c:f>
              <c:strCache>
                <c:ptCount val="3"/>
                <c:pt idx="1">
                  <c:v>group A</c:v>
                </c:pt>
                <c:pt idx="2">
                  <c:v>group B</c:v>
                </c:pt>
              </c:strCache>
            </c:strRef>
          </c:cat>
          <c:val>
            <c:numRef>
              <c:f>Sheet3!$B$11:$D$11</c:f>
              <c:numCache>
                <c:formatCode>General</c:formatCode>
                <c:ptCount val="3"/>
                <c:pt idx="1">
                  <c:v>3.68</c:v>
                </c:pt>
                <c:pt idx="2">
                  <c:v>3.97</c:v>
                </c:pt>
              </c:numCache>
            </c:numRef>
          </c:val>
        </c:ser>
        <c:ser>
          <c:idx val="1"/>
          <c:order val="1"/>
          <c:tx>
            <c:strRef>
              <c:f>Sheet3!$A$12</c:f>
              <c:strCache>
                <c:ptCount val="1"/>
                <c:pt idx="0">
                  <c:v>post</c:v>
                </c:pt>
              </c:strCache>
            </c:strRef>
          </c:tx>
          <c:invertIfNegative val="0"/>
          <c:cat>
            <c:strRef>
              <c:f>Sheet3!$B$10:$D$10</c:f>
              <c:strCache>
                <c:ptCount val="3"/>
                <c:pt idx="1">
                  <c:v>group A</c:v>
                </c:pt>
                <c:pt idx="2">
                  <c:v>group B</c:v>
                </c:pt>
              </c:strCache>
            </c:strRef>
          </c:cat>
          <c:val>
            <c:numRef>
              <c:f>Sheet3!$B$12:$D$12</c:f>
              <c:numCache>
                <c:formatCode>General</c:formatCode>
                <c:ptCount val="3"/>
                <c:pt idx="1">
                  <c:v>2.23</c:v>
                </c:pt>
                <c:pt idx="2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585088"/>
        <c:axId val="144586624"/>
        <c:axId val="0"/>
      </c:bar3DChart>
      <c:catAx>
        <c:axId val="14458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86624"/>
        <c:crosses val="autoZero"/>
        <c:auto val="1"/>
        <c:lblAlgn val="ctr"/>
        <c:lblOffset val="100"/>
        <c:noMultiLvlLbl val="0"/>
      </c:catAx>
      <c:valAx>
        <c:axId val="14458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8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02405949256338E-2"/>
          <c:y val="5.1400554097404488E-2"/>
          <c:w val="0.77717935258092741"/>
          <c:h val="0.70298993875765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Sheet3!$A$16</c:f>
              <c:strCache>
                <c:ptCount val="1"/>
                <c:pt idx="0">
                  <c:v>pre</c:v>
                </c:pt>
              </c:strCache>
            </c:strRef>
          </c:tx>
          <c:invertIfNegative val="0"/>
          <c:cat>
            <c:strRef>
              <c:f>Sheet3!$B$15:$D$15</c:f>
              <c:strCache>
                <c:ptCount val="3"/>
                <c:pt idx="1">
                  <c:v>group A</c:v>
                </c:pt>
                <c:pt idx="2">
                  <c:v>group B</c:v>
                </c:pt>
              </c:strCache>
            </c:strRef>
          </c:cat>
          <c:val>
            <c:numRef>
              <c:f>Sheet3!$B$16:$D$16</c:f>
              <c:numCache>
                <c:formatCode>General</c:formatCode>
                <c:ptCount val="3"/>
                <c:pt idx="1">
                  <c:v>4.3899999999999997</c:v>
                </c:pt>
                <c:pt idx="2">
                  <c:v>4.34</c:v>
                </c:pt>
              </c:numCache>
            </c:numRef>
          </c:val>
        </c:ser>
        <c:ser>
          <c:idx val="1"/>
          <c:order val="1"/>
          <c:tx>
            <c:strRef>
              <c:f>Sheet3!$A$17</c:f>
              <c:strCache>
                <c:ptCount val="1"/>
                <c:pt idx="0">
                  <c:v>post</c:v>
                </c:pt>
              </c:strCache>
            </c:strRef>
          </c:tx>
          <c:invertIfNegative val="0"/>
          <c:cat>
            <c:strRef>
              <c:f>Sheet3!$B$15:$D$15</c:f>
              <c:strCache>
                <c:ptCount val="3"/>
                <c:pt idx="1">
                  <c:v>group A</c:v>
                </c:pt>
                <c:pt idx="2">
                  <c:v>group B</c:v>
                </c:pt>
              </c:strCache>
            </c:strRef>
          </c:cat>
          <c:val>
            <c:numRef>
              <c:f>Sheet3!$B$17:$D$17</c:f>
              <c:numCache>
                <c:formatCode>General</c:formatCode>
                <c:ptCount val="3"/>
                <c:pt idx="1">
                  <c:v>2.69</c:v>
                </c:pt>
                <c:pt idx="2">
                  <c:v>2.59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595968"/>
        <c:axId val="144610048"/>
        <c:axId val="0"/>
      </c:bar3DChart>
      <c:catAx>
        <c:axId val="14459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610048"/>
        <c:crosses val="autoZero"/>
        <c:auto val="1"/>
        <c:lblAlgn val="ctr"/>
        <c:lblOffset val="100"/>
        <c:noMultiLvlLbl val="0"/>
      </c:catAx>
      <c:valAx>
        <c:axId val="1446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9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0.35833</cdr:x>
      <cdr:y>0.85271</cdr:y>
    </cdr:from>
    <cdr:to>
      <cdr:x>0.80775</cdr:x>
      <cdr:y>1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1881963" y="2339162"/>
          <a:ext cx="2360428" cy="404037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Plaque Index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0.33256</cdr:x>
      <cdr:y>0.83721</cdr:y>
    </cdr:from>
    <cdr:to>
      <cdr:x>0.80233</cdr:x>
      <cdr:y>1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1520455" y="2296633"/>
          <a:ext cx="2147777" cy="446567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       Bleeding on Probing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0.35951</cdr:x>
      <cdr:y>0.86434</cdr:y>
    </cdr:from>
    <cdr:to>
      <cdr:x>0.78099</cdr:x>
      <cdr:y>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850065" y="2371060"/>
          <a:ext cx="2168924" cy="372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0.34186</cdr:x>
      <cdr:y>0.84496</cdr:y>
    </cdr:from>
    <cdr:to>
      <cdr:x>0.83953</cdr:x>
      <cdr:y>1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1562986" y="2317898"/>
          <a:ext cx="2275367" cy="42530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         Pocket</a:t>
          </a:r>
          <a:r>
            <a:rPr lang="en-US" sz="1200" baseline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Probing Depth</a:t>
          </a:r>
          <a:endParaRPr lang="en-US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0.36512</cdr:x>
      <cdr:y>0.85659</cdr:y>
    </cdr:from>
    <cdr:to>
      <cdr:x>0.81628</cdr:x>
      <cdr:y>1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1669312" y="2349794"/>
          <a:ext cx="2062716" cy="3934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Clinical Attachment Level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</Words>
  <Characters>492</Characters>
  <Application>Microsoft Office Word</Application>
  <DocSecurity>0</DocSecurity>
  <Lines>4</Lines>
  <Paragraphs>1</Paragraphs>
  <ScaleCrop>false</ScaleCrop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SHATAKSHI SHARMA</dc:creator>
  <cp:keywords/>
  <dc:description/>
  <cp:lastModifiedBy>SHATAKSHI SHARMA</cp:lastModifiedBy>
  <cp:revision>3</cp:revision>
  <dcterms:created xsi:type="dcterms:W3CDTF">2016-04-18T05:45:00Z</dcterms:created>
  <dcterms:modified xsi:type="dcterms:W3CDTF">2016-04-18T05:49:00Z</dcterms:modified>
</cp:coreProperties>
</file>