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DE" w:rsidRDefault="00061ADE" w:rsidP="00061ADE">
      <w:pPr>
        <w:spacing w:line="48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F5313">
        <w:rPr>
          <w:rFonts w:ascii="Times New Roman" w:hAnsi="Times New Roman" w:cs="Times New Roman"/>
          <w:b/>
          <w:sz w:val="36"/>
          <w:szCs w:val="36"/>
        </w:rPr>
        <w:t>Supplementary Figures</w:t>
      </w:r>
    </w:p>
    <w:p w:rsidR="00061ADE" w:rsidRDefault="00061ADE" w:rsidP="00061ADE">
      <w:pPr>
        <w:keepNext/>
        <w:spacing w:line="480" w:lineRule="auto"/>
        <w:jc w:val="center"/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3409950" cy="4229100"/>
            <wp:effectExtent l="19050" t="0" r="0" b="0"/>
            <wp:docPr id="1" name="Picture 1" descr="H:\ \PA-paper\Figure.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 \PA-paper\Figure.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ADE" w:rsidRPr="001F5313" w:rsidRDefault="00061ADE" w:rsidP="00061ADE">
      <w:pPr>
        <w:pStyle w:val="Caption"/>
        <w:jc w:val="center"/>
        <w:rPr>
          <w:rFonts w:ascii="Times New Roman" w:hAnsi="Times New Roman" w:cs="Times New Roman"/>
          <w:b w:val="0"/>
          <w:sz w:val="36"/>
          <w:szCs w:val="36"/>
        </w:rPr>
      </w:pPr>
      <w:r>
        <w:t xml:space="preserve">Figure </w:t>
      </w:r>
      <w:r w:rsidR="001E7AAF">
        <w:t>S</w:t>
      </w:r>
      <w:fldSimple w:instr=" SEQ Figure \* ARABIC ">
        <w:r>
          <w:rPr>
            <w:noProof/>
          </w:rPr>
          <w:t>1</w:t>
        </w:r>
      </w:fldSimple>
    </w:p>
    <w:p w:rsidR="00061ADE" w:rsidRDefault="00061ADE" w:rsidP="00061ADE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B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74B60">
        <w:rPr>
          <w:rFonts w:ascii="Times New Roman" w:hAnsi="Times New Roman" w:cs="Times New Roman"/>
          <w:sz w:val="24"/>
          <w:szCs w:val="24"/>
        </w:rPr>
        <w:t>Antibacterial activity observed against the growing lawns of, (</w:t>
      </w:r>
      <w:r w:rsidRPr="00C74B60">
        <w:rPr>
          <w:rFonts w:ascii="Times New Roman" w:hAnsi="Times New Roman" w:cs="Times New Roman"/>
          <w:b/>
          <w:sz w:val="24"/>
          <w:szCs w:val="24"/>
        </w:rPr>
        <w:t>a</w:t>
      </w:r>
      <w:r w:rsidRPr="00C74B60">
        <w:rPr>
          <w:rFonts w:ascii="Times New Roman" w:hAnsi="Times New Roman" w:cs="Times New Roman"/>
          <w:sz w:val="24"/>
          <w:szCs w:val="24"/>
        </w:rPr>
        <w:t xml:space="preserve">) </w:t>
      </w:r>
      <w:r w:rsidRPr="00C74B60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Pr="00C74B60">
        <w:rPr>
          <w:rFonts w:ascii="Times New Roman" w:hAnsi="Times New Roman" w:cs="Times New Roman"/>
          <w:sz w:val="24"/>
          <w:szCs w:val="24"/>
        </w:rPr>
        <w:t>, (</w:t>
      </w:r>
      <w:r w:rsidRPr="00C74B60">
        <w:rPr>
          <w:rFonts w:ascii="Times New Roman" w:hAnsi="Times New Roman" w:cs="Times New Roman"/>
          <w:b/>
          <w:sz w:val="24"/>
          <w:szCs w:val="24"/>
        </w:rPr>
        <w:t>b, c</w:t>
      </w:r>
      <w:r w:rsidRPr="00C74B60">
        <w:rPr>
          <w:rFonts w:ascii="Times New Roman" w:hAnsi="Times New Roman" w:cs="Times New Roman"/>
          <w:sz w:val="24"/>
          <w:szCs w:val="24"/>
        </w:rPr>
        <w:t xml:space="preserve">) </w:t>
      </w:r>
      <w:r w:rsidRPr="00C74B60">
        <w:rPr>
          <w:rFonts w:ascii="Times New Roman" w:hAnsi="Times New Roman" w:cs="Times New Roman"/>
          <w:i/>
          <w:sz w:val="24"/>
          <w:szCs w:val="24"/>
        </w:rPr>
        <w:t xml:space="preserve">Mycobacterium abscessus, </w:t>
      </w:r>
      <w:r w:rsidRPr="00C74B60">
        <w:rPr>
          <w:rFonts w:ascii="Times New Roman" w:hAnsi="Times New Roman" w:cs="Times New Roman"/>
          <w:b/>
          <w:sz w:val="24"/>
          <w:szCs w:val="24"/>
        </w:rPr>
        <w:t>(d)</w:t>
      </w:r>
      <w:r w:rsidRPr="00C74B60">
        <w:rPr>
          <w:rFonts w:ascii="Times New Roman" w:hAnsi="Times New Roman" w:cs="Times New Roman"/>
          <w:sz w:val="24"/>
          <w:szCs w:val="24"/>
        </w:rPr>
        <w:t xml:space="preserve"> </w:t>
      </w:r>
      <w:r w:rsidRPr="00C74B60">
        <w:rPr>
          <w:rFonts w:ascii="Times New Roman" w:hAnsi="Times New Roman" w:cs="Times New Roman"/>
          <w:i/>
          <w:sz w:val="24"/>
          <w:szCs w:val="24"/>
        </w:rPr>
        <w:t xml:space="preserve">Mycobacterium smegmatis. </w:t>
      </w:r>
      <w:r w:rsidRPr="00C74B60">
        <w:rPr>
          <w:rFonts w:ascii="Times New Roman" w:hAnsi="Times New Roman" w:cs="Times New Roman"/>
          <w:sz w:val="24"/>
          <w:szCs w:val="24"/>
        </w:rPr>
        <w:t>(</w:t>
      </w:r>
      <w:r w:rsidRPr="00C74B60">
        <w:rPr>
          <w:rFonts w:ascii="Times New Roman" w:hAnsi="Times New Roman" w:cs="Times New Roman"/>
          <w:b/>
          <w:sz w:val="24"/>
          <w:szCs w:val="24"/>
        </w:rPr>
        <w:t>X</w:t>
      </w:r>
      <w:r w:rsidRPr="00C74B60">
        <w:rPr>
          <w:rFonts w:ascii="Times New Roman" w:hAnsi="Times New Roman" w:cs="Times New Roman"/>
          <w:i/>
          <w:sz w:val="24"/>
          <w:szCs w:val="24"/>
        </w:rPr>
        <w:t xml:space="preserve">=PA BAA 427, </w:t>
      </w:r>
      <w:r w:rsidRPr="00C74B60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</w:rPr>
        <w:t>=PA 2</w:t>
      </w:r>
      <w:r w:rsidRPr="00C74B60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C74B60">
        <w:rPr>
          <w:rFonts w:ascii="Times New Roman" w:hAnsi="Times New Roman" w:cs="Times New Roman"/>
          <w:i/>
          <w:sz w:val="24"/>
          <w:szCs w:val="24"/>
        </w:rPr>
        <w:t>53</w:t>
      </w:r>
      <w:r w:rsidRPr="00C74B60">
        <w:rPr>
          <w:rFonts w:ascii="Times New Roman" w:hAnsi="Times New Roman" w:cs="Times New Roman"/>
          <w:sz w:val="24"/>
          <w:szCs w:val="24"/>
        </w:rPr>
        <w:t>)</w:t>
      </w:r>
      <w:r w:rsidRPr="00C74B6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61ADE" w:rsidRDefault="00061ADE" w:rsidP="00061ADE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1ADE" w:rsidRDefault="00061ADE" w:rsidP="00061ADE">
      <w:pPr>
        <w:keepNext/>
        <w:spacing w:line="480" w:lineRule="auto"/>
        <w:jc w:val="center"/>
      </w:pPr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inline distT="0" distB="0" distL="0" distR="0">
            <wp:extent cx="2600325" cy="2771775"/>
            <wp:effectExtent l="19050" t="0" r="9525" b="0"/>
            <wp:docPr id="2" name="Picture 2" descr="H:\ \PA-paper\Figure.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 \PA-paper\Figure.S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ADE" w:rsidRPr="00C74B60" w:rsidRDefault="00061ADE" w:rsidP="00061ADE">
      <w:pPr>
        <w:pStyle w:val="Caption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t xml:space="preserve">Figure </w:t>
      </w:r>
      <w:r w:rsidR="001E7AAF">
        <w:t>S</w:t>
      </w:r>
      <w:fldSimple w:instr=" SEQ Figure \* ARABIC ">
        <w:r>
          <w:rPr>
            <w:noProof/>
          </w:rPr>
          <w:t>2</w:t>
        </w:r>
      </w:fldSimple>
    </w:p>
    <w:p w:rsidR="00061ADE" w:rsidRPr="00C74B60" w:rsidRDefault="00061ADE" w:rsidP="00061ADE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8527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)Biochemical characterization of the bioactive strains (</w:t>
      </w:r>
      <w:r w:rsidRPr="00085271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4B60">
        <w:rPr>
          <w:rFonts w:ascii="Times New Roman" w:hAnsi="Times New Roman" w:cs="Times New Roman"/>
          <w:sz w:val="24"/>
          <w:szCs w:val="24"/>
        </w:rPr>
        <w:t xml:space="preserve"> Antibiotic Susceptibility profile; Blue colored wells are showing the bacterial killing at the corresponding concentration of antibiotic drugs. The pink color wells represent the unaffected or live cells. </w:t>
      </w:r>
      <w:r>
        <w:rPr>
          <w:rFonts w:ascii="Times New Roman" w:hAnsi="Times New Roman" w:cs="Times New Roman"/>
          <w:sz w:val="24"/>
          <w:szCs w:val="24"/>
        </w:rPr>
        <w:t xml:space="preserve">(c) pigment production after 12 hour (d) Colony morphology </w:t>
      </w:r>
    </w:p>
    <w:p w:rsidR="00CE25AD" w:rsidRDefault="001E7AAF"/>
    <w:sectPr w:rsidR="00CE25AD" w:rsidSect="00205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1ADE"/>
    <w:rsid w:val="00061ADE"/>
    <w:rsid w:val="00121D07"/>
    <w:rsid w:val="001E7AAF"/>
    <w:rsid w:val="0020518B"/>
    <w:rsid w:val="00B377C2"/>
    <w:rsid w:val="00E5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AD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61AD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2016-06-28T03:26:00Z</dcterms:created>
  <dcterms:modified xsi:type="dcterms:W3CDTF">2016-06-28T04:58:00Z</dcterms:modified>
</cp:coreProperties>
</file>