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177" w:rsidRPr="00F27177" w:rsidRDefault="003E0A5E" w:rsidP="005E3D90">
      <w:pPr>
        <w:bidi w:val="0"/>
        <w:spacing w:after="0" w:line="360" w:lineRule="auto"/>
        <w:jc w:val="center"/>
        <w:rPr>
          <w:rFonts w:asciiTheme="majorBidi" w:hAnsiTheme="majorBidi" w:cstheme="majorBidi"/>
          <w:b/>
          <w:bCs/>
          <w:sz w:val="28"/>
          <w:szCs w:val="28"/>
          <w:lang w:bidi="ar-EG"/>
        </w:rPr>
      </w:pPr>
      <w:r w:rsidRPr="00132F2F">
        <w:rPr>
          <w:rFonts w:asciiTheme="majorBidi" w:hAnsiTheme="majorBidi" w:cstheme="majorBidi"/>
          <w:b/>
          <w:bCs/>
          <w:sz w:val="28"/>
          <w:szCs w:val="28"/>
          <w:lang w:bidi="ar-EG"/>
        </w:rPr>
        <w:t>Effect</w:t>
      </w:r>
      <w:r w:rsidR="002A4F57" w:rsidRPr="00132F2F">
        <w:rPr>
          <w:rFonts w:asciiTheme="majorBidi" w:hAnsiTheme="majorBidi" w:cstheme="majorBidi"/>
          <w:b/>
          <w:bCs/>
          <w:sz w:val="28"/>
          <w:szCs w:val="28"/>
          <w:lang w:bidi="ar-EG"/>
        </w:rPr>
        <w:t xml:space="preserve"> of trichloroethylene</w:t>
      </w:r>
      <w:r w:rsidR="00343408" w:rsidRPr="00132F2F">
        <w:rPr>
          <w:rFonts w:asciiTheme="majorBidi" w:hAnsiTheme="majorBidi" w:cstheme="majorBidi"/>
          <w:b/>
          <w:bCs/>
          <w:sz w:val="28"/>
          <w:szCs w:val="28"/>
          <w:lang w:bidi="ar-EG"/>
        </w:rPr>
        <w:t xml:space="preserve"> (TCE)</w:t>
      </w:r>
      <w:r w:rsidR="00F27177">
        <w:rPr>
          <w:rFonts w:asciiTheme="majorBidi" w:hAnsiTheme="majorBidi" w:cstheme="majorBidi"/>
          <w:b/>
          <w:bCs/>
          <w:sz w:val="28"/>
          <w:szCs w:val="28"/>
          <w:lang w:bidi="ar-EG"/>
        </w:rPr>
        <w:t xml:space="preserve"> on female</w:t>
      </w:r>
      <w:r w:rsidRPr="00132F2F">
        <w:rPr>
          <w:rFonts w:asciiTheme="majorBidi" w:hAnsiTheme="majorBidi" w:cstheme="majorBidi"/>
          <w:b/>
          <w:bCs/>
          <w:sz w:val="28"/>
          <w:szCs w:val="28"/>
          <w:lang w:bidi="ar-EG"/>
        </w:rPr>
        <w:t xml:space="preserve"> Albino mice </w:t>
      </w:r>
      <w:r w:rsidR="00574CC5">
        <w:rPr>
          <w:rFonts w:asciiTheme="majorBidi" w:hAnsiTheme="majorBidi" w:cstheme="majorBidi"/>
          <w:b/>
          <w:bCs/>
          <w:sz w:val="28"/>
          <w:szCs w:val="28"/>
          <w:lang w:bidi="ar-EG"/>
        </w:rPr>
        <w:t>and their early embryos</w:t>
      </w:r>
      <w:r w:rsidRPr="00132F2F">
        <w:rPr>
          <w:rFonts w:asciiTheme="majorBidi" w:hAnsiTheme="majorBidi" w:cstheme="majorBidi"/>
          <w:b/>
          <w:bCs/>
          <w:sz w:val="28"/>
          <w:szCs w:val="28"/>
          <w:lang w:bidi="ar-EG"/>
        </w:rPr>
        <w:t xml:space="preserve"> </w:t>
      </w:r>
    </w:p>
    <w:p w:rsidR="002A4F57" w:rsidRPr="00F27177" w:rsidRDefault="002A4F57" w:rsidP="00765E09">
      <w:pPr>
        <w:bidi w:val="0"/>
        <w:spacing w:after="0" w:line="240" w:lineRule="auto"/>
        <w:rPr>
          <w:rFonts w:asciiTheme="majorBidi" w:hAnsiTheme="majorBidi" w:cstheme="majorBidi"/>
          <w:sz w:val="16"/>
          <w:szCs w:val="16"/>
          <w:lang w:bidi="ar-EG"/>
        </w:rPr>
      </w:pPr>
      <w:r w:rsidRPr="00F27177">
        <w:rPr>
          <w:rFonts w:asciiTheme="majorBidi" w:hAnsiTheme="majorBidi" w:cstheme="majorBidi"/>
          <w:sz w:val="16"/>
          <w:szCs w:val="16"/>
          <w:lang w:bidi="ar-EG"/>
        </w:rPr>
        <w:t>El-</w:t>
      </w:r>
      <w:proofErr w:type="spellStart"/>
      <w:r w:rsidRPr="00F27177">
        <w:rPr>
          <w:rFonts w:asciiTheme="majorBidi" w:hAnsiTheme="majorBidi" w:cstheme="majorBidi"/>
          <w:sz w:val="16"/>
          <w:szCs w:val="16"/>
          <w:lang w:bidi="ar-EG"/>
        </w:rPr>
        <w:t>Shershaby</w:t>
      </w:r>
      <w:proofErr w:type="spellEnd"/>
      <w:r w:rsidRPr="00F27177">
        <w:rPr>
          <w:rFonts w:asciiTheme="majorBidi" w:hAnsiTheme="majorBidi" w:cstheme="majorBidi"/>
          <w:sz w:val="16"/>
          <w:szCs w:val="16"/>
          <w:lang w:bidi="ar-EG"/>
        </w:rPr>
        <w:t xml:space="preserve"> A. M</w:t>
      </w:r>
      <w:r w:rsidR="0040530D" w:rsidRPr="00F27177">
        <w:rPr>
          <w:rFonts w:asciiTheme="majorBidi" w:hAnsiTheme="majorBidi" w:cstheme="majorBidi"/>
          <w:sz w:val="16"/>
          <w:szCs w:val="16"/>
          <w:lang w:bidi="ar-EG"/>
        </w:rPr>
        <w:t>*</w:t>
      </w:r>
      <w:proofErr w:type="gramStart"/>
      <w:r w:rsidRPr="00F27177">
        <w:rPr>
          <w:rFonts w:asciiTheme="majorBidi" w:hAnsiTheme="majorBidi" w:cstheme="majorBidi"/>
          <w:sz w:val="16"/>
          <w:szCs w:val="16"/>
          <w:lang w:bidi="ar-EG"/>
        </w:rPr>
        <w:t>.,</w:t>
      </w:r>
      <w:proofErr w:type="gramEnd"/>
      <w:r w:rsidRPr="00F27177">
        <w:rPr>
          <w:rFonts w:asciiTheme="majorBidi" w:hAnsiTheme="majorBidi" w:cstheme="majorBidi"/>
          <w:sz w:val="16"/>
          <w:szCs w:val="16"/>
          <w:lang w:bidi="ar-EG"/>
        </w:rPr>
        <w:t xml:space="preserve"> El-</w:t>
      </w:r>
      <w:proofErr w:type="spellStart"/>
      <w:r w:rsidRPr="00F27177">
        <w:rPr>
          <w:rFonts w:asciiTheme="majorBidi" w:hAnsiTheme="majorBidi" w:cstheme="majorBidi"/>
          <w:sz w:val="16"/>
          <w:szCs w:val="16"/>
          <w:lang w:bidi="ar-EG"/>
        </w:rPr>
        <w:t>Balshy</w:t>
      </w:r>
      <w:proofErr w:type="spellEnd"/>
      <w:r w:rsidRPr="00F27177">
        <w:rPr>
          <w:rFonts w:asciiTheme="majorBidi" w:hAnsiTheme="majorBidi" w:cstheme="majorBidi"/>
          <w:sz w:val="16"/>
          <w:szCs w:val="16"/>
          <w:lang w:bidi="ar-EG"/>
        </w:rPr>
        <w:t xml:space="preserve"> R.M., </w:t>
      </w:r>
      <w:proofErr w:type="spellStart"/>
      <w:r w:rsidRPr="00F27177">
        <w:rPr>
          <w:rFonts w:asciiTheme="majorBidi" w:hAnsiTheme="majorBidi" w:cstheme="majorBidi"/>
          <w:sz w:val="16"/>
          <w:szCs w:val="16"/>
          <w:lang w:bidi="ar-EG"/>
        </w:rPr>
        <w:t>Abd</w:t>
      </w:r>
      <w:proofErr w:type="spellEnd"/>
      <w:r w:rsidRPr="00F27177">
        <w:rPr>
          <w:rFonts w:asciiTheme="majorBidi" w:hAnsiTheme="majorBidi" w:cstheme="majorBidi"/>
          <w:sz w:val="16"/>
          <w:szCs w:val="16"/>
          <w:lang w:bidi="ar-EG"/>
        </w:rPr>
        <w:t xml:space="preserve"> El-</w:t>
      </w:r>
      <w:proofErr w:type="spellStart"/>
      <w:r w:rsidRPr="00F27177">
        <w:rPr>
          <w:rFonts w:asciiTheme="majorBidi" w:hAnsiTheme="majorBidi" w:cstheme="majorBidi"/>
          <w:sz w:val="16"/>
          <w:szCs w:val="16"/>
          <w:lang w:bidi="ar-EG"/>
        </w:rPr>
        <w:t>Hady</w:t>
      </w:r>
      <w:proofErr w:type="spellEnd"/>
      <w:r w:rsidRPr="00F27177">
        <w:rPr>
          <w:rFonts w:asciiTheme="majorBidi" w:hAnsiTheme="majorBidi" w:cstheme="majorBidi"/>
          <w:sz w:val="16"/>
          <w:szCs w:val="16"/>
          <w:lang w:bidi="ar-EG"/>
        </w:rPr>
        <w:t xml:space="preserve"> S. I. and </w:t>
      </w:r>
      <w:proofErr w:type="spellStart"/>
      <w:r w:rsidRPr="00F27177">
        <w:rPr>
          <w:rFonts w:asciiTheme="majorBidi" w:hAnsiTheme="majorBidi" w:cstheme="majorBidi"/>
          <w:sz w:val="16"/>
          <w:szCs w:val="16"/>
          <w:lang w:bidi="ar-EG"/>
        </w:rPr>
        <w:t>Abou-rashed</w:t>
      </w:r>
      <w:proofErr w:type="spellEnd"/>
      <w:r w:rsidRPr="00F27177">
        <w:rPr>
          <w:rFonts w:asciiTheme="majorBidi" w:hAnsiTheme="majorBidi" w:cstheme="majorBidi"/>
          <w:sz w:val="16"/>
          <w:szCs w:val="16"/>
          <w:lang w:bidi="ar-EG"/>
        </w:rPr>
        <w:t xml:space="preserve"> N. M.</w:t>
      </w:r>
    </w:p>
    <w:p w:rsidR="0040530D" w:rsidRPr="00F27177" w:rsidRDefault="0040530D" w:rsidP="00765E09">
      <w:pPr>
        <w:bidi w:val="0"/>
        <w:spacing w:after="0" w:line="240" w:lineRule="auto"/>
        <w:rPr>
          <w:rFonts w:asciiTheme="majorBidi" w:hAnsiTheme="majorBidi" w:cstheme="majorBidi"/>
          <w:sz w:val="16"/>
          <w:szCs w:val="16"/>
          <w:lang w:bidi="ar-EG"/>
        </w:rPr>
      </w:pPr>
      <w:r w:rsidRPr="00F27177">
        <w:rPr>
          <w:rFonts w:asciiTheme="majorBidi" w:hAnsiTheme="majorBidi" w:cstheme="majorBidi"/>
          <w:sz w:val="16"/>
          <w:szCs w:val="16"/>
          <w:lang w:bidi="ar-EG"/>
        </w:rPr>
        <w:t>Zoology Department</w:t>
      </w:r>
      <w:r w:rsidR="006705D1" w:rsidRPr="00F27177">
        <w:rPr>
          <w:rFonts w:asciiTheme="majorBidi" w:hAnsiTheme="majorBidi" w:cstheme="majorBidi"/>
          <w:sz w:val="16"/>
          <w:szCs w:val="16"/>
          <w:lang w:bidi="ar-EG"/>
        </w:rPr>
        <w:t>, Faculty</w:t>
      </w:r>
      <w:r w:rsidRPr="00F27177">
        <w:rPr>
          <w:rFonts w:asciiTheme="majorBidi" w:hAnsiTheme="majorBidi" w:cstheme="majorBidi"/>
          <w:sz w:val="16"/>
          <w:szCs w:val="16"/>
          <w:lang w:bidi="ar-EG"/>
        </w:rPr>
        <w:t xml:space="preserve"> of Science</w:t>
      </w:r>
      <w:r w:rsidR="006705D1" w:rsidRPr="00F27177">
        <w:rPr>
          <w:rFonts w:asciiTheme="majorBidi" w:hAnsiTheme="majorBidi" w:cstheme="majorBidi"/>
          <w:sz w:val="16"/>
          <w:szCs w:val="16"/>
          <w:lang w:bidi="ar-EG"/>
        </w:rPr>
        <w:t>, Cairo</w:t>
      </w:r>
      <w:r w:rsidRPr="00F27177">
        <w:rPr>
          <w:rFonts w:asciiTheme="majorBidi" w:hAnsiTheme="majorBidi" w:cstheme="majorBidi"/>
          <w:sz w:val="16"/>
          <w:szCs w:val="16"/>
          <w:lang w:bidi="ar-EG"/>
        </w:rPr>
        <w:t xml:space="preserve"> </w:t>
      </w:r>
      <w:r w:rsidR="006705D1" w:rsidRPr="00F27177">
        <w:rPr>
          <w:rFonts w:asciiTheme="majorBidi" w:hAnsiTheme="majorBidi" w:cstheme="majorBidi"/>
          <w:sz w:val="16"/>
          <w:szCs w:val="16"/>
          <w:lang w:bidi="ar-EG"/>
        </w:rPr>
        <w:t>University</w:t>
      </w:r>
      <w:r w:rsidR="00B71D71" w:rsidRPr="00F27177">
        <w:rPr>
          <w:rFonts w:asciiTheme="majorBidi" w:hAnsiTheme="majorBidi" w:cstheme="majorBidi"/>
          <w:sz w:val="16"/>
          <w:szCs w:val="16"/>
          <w:lang w:bidi="ar-EG"/>
        </w:rPr>
        <w:t>*</w:t>
      </w:r>
    </w:p>
    <w:p w:rsidR="00B71D71" w:rsidRPr="00F27177" w:rsidRDefault="0040530D" w:rsidP="00765E09">
      <w:pPr>
        <w:bidi w:val="0"/>
        <w:spacing w:after="0" w:line="240" w:lineRule="auto"/>
        <w:rPr>
          <w:rFonts w:asciiTheme="majorBidi" w:hAnsiTheme="majorBidi" w:cstheme="majorBidi"/>
          <w:i/>
          <w:iCs/>
          <w:sz w:val="16"/>
          <w:szCs w:val="16"/>
          <w:lang w:bidi="ar-EG"/>
        </w:rPr>
      </w:pPr>
      <w:r w:rsidRPr="00F27177">
        <w:rPr>
          <w:rFonts w:asciiTheme="majorBidi" w:hAnsiTheme="majorBidi" w:cstheme="majorBidi"/>
          <w:sz w:val="16"/>
          <w:szCs w:val="16"/>
          <w:lang w:bidi="ar-EG"/>
        </w:rPr>
        <w:t>Zoology Department</w:t>
      </w:r>
      <w:r w:rsidR="006705D1" w:rsidRPr="00F27177">
        <w:rPr>
          <w:rFonts w:asciiTheme="majorBidi" w:hAnsiTheme="majorBidi" w:cstheme="majorBidi"/>
          <w:sz w:val="16"/>
          <w:szCs w:val="16"/>
          <w:lang w:bidi="ar-EG"/>
        </w:rPr>
        <w:t>, Faculty</w:t>
      </w:r>
      <w:r w:rsidRPr="00F27177">
        <w:rPr>
          <w:rFonts w:asciiTheme="majorBidi" w:hAnsiTheme="majorBidi" w:cstheme="majorBidi"/>
          <w:sz w:val="16"/>
          <w:szCs w:val="16"/>
          <w:lang w:bidi="ar-EG"/>
        </w:rPr>
        <w:t xml:space="preserve"> of Science</w:t>
      </w:r>
      <w:r w:rsidR="006705D1" w:rsidRPr="00F27177">
        <w:rPr>
          <w:rFonts w:asciiTheme="majorBidi" w:hAnsiTheme="majorBidi" w:cstheme="majorBidi"/>
          <w:sz w:val="16"/>
          <w:szCs w:val="16"/>
          <w:lang w:bidi="ar-EG"/>
        </w:rPr>
        <w:t xml:space="preserve">, </w:t>
      </w:r>
      <w:proofErr w:type="spellStart"/>
      <w:r w:rsidR="006705D1" w:rsidRPr="00F27177">
        <w:rPr>
          <w:rFonts w:asciiTheme="majorBidi" w:hAnsiTheme="majorBidi" w:cstheme="majorBidi"/>
          <w:sz w:val="16"/>
          <w:szCs w:val="16"/>
          <w:lang w:bidi="ar-EG"/>
        </w:rPr>
        <w:t>Benha</w:t>
      </w:r>
      <w:proofErr w:type="spellEnd"/>
      <w:r w:rsidRPr="00F27177">
        <w:rPr>
          <w:rFonts w:asciiTheme="majorBidi" w:hAnsiTheme="majorBidi" w:cstheme="majorBidi"/>
          <w:sz w:val="16"/>
          <w:szCs w:val="16"/>
          <w:lang w:bidi="ar-EG"/>
        </w:rPr>
        <w:t xml:space="preserve"> </w:t>
      </w:r>
      <w:r w:rsidR="006705D1" w:rsidRPr="00F27177">
        <w:rPr>
          <w:rFonts w:asciiTheme="majorBidi" w:hAnsiTheme="majorBidi" w:cstheme="majorBidi"/>
          <w:sz w:val="16"/>
          <w:szCs w:val="16"/>
          <w:lang w:bidi="ar-EG"/>
        </w:rPr>
        <w:t>University</w:t>
      </w:r>
    </w:p>
    <w:p w:rsidR="00B71D71" w:rsidRPr="00C71AD6" w:rsidRDefault="00B71D71" w:rsidP="005E3D90">
      <w:pPr>
        <w:bidi w:val="0"/>
        <w:spacing w:after="0" w:line="360" w:lineRule="auto"/>
        <w:rPr>
          <w:rFonts w:asciiTheme="majorBidi" w:hAnsiTheme="majorBidi" w:cstheme="majorBidi"/>
          <w:b/>
          <w:bCs/>
          <w:i/>
          <w:iCs/>
          <w:sz w:val="24"/>
          <w:szCs w:val="24"/>
          <w:lang w:bidi="ar-EG"/>
        </w:rPr>
      </w:pPr>
      <w:r w:rsidRPr="00C71AD6">
        <w:rPr>
          <w:rFonts w:asciiTheme="majorBidi" w:hAnsiTheme="majorBidi" w:cstheme="majorBidi"/>
          <w:b/>
          <w:bCs/>
          <w:i/>
          <w:iCs/>
          <w:sz w:val="24"/>
          <w:szCs w:val="24"/>
          <w:lang w:bidi="ar-EG"/>
        </w:rPr>
        <w:t>----------------------------------------------------------------------------------------------------------</w:t>
      </w:r>
      <w:r w:rsidR="00C71AD6">
        <w:rPr>
          <w:rFonts w:asciiTheme="majorBidi" w:hAnsiTheme="majorBidi" w:cstheme="majorBidi"/>
          <w:b/>
          <w:bCs/>
          <w:i/>
          <w:iCs/>
          <w:sz w:val="24"/>
          <w:szCs w:val="24"/>
          <w:lang w:bidi="ar-EG"/>
        </w:rPr>
        <w:t>-------</w:t>
      </w:r>
    </w:p>
    <w:p w:rsidR="00833E56" w:rsidRPr="00C71AD6" w:rsidRDefault="00833E56" w:rsidP="005E3D90">
      <w:pPr>
        <w:bidi w:val="0"/>
        <w:spacing w:after="0" w:line="360" w:lineRule="auto"/>
        <w:rPr>
          <w:rFonts w:asciiTheme="majorBidi" w:hAnsiTheme="majorBidi" w:cstheme="majorBidi"/>
          <w:b/>
          <w:bCs/>
          <w:i/>
          <w:iCs/>
          <w:sz w:val="24"/>
          <w:szCs w:val="24"/>
          <w:lang w:bidi="ar-EG"/>
        </w:rPr>
      </w:pPr>
      <w:r w:rsidRPr="00C71AD6">
        <w:rPr>
          <w:rFonts w:asciiTheme="majorBidi" w:hAnsiTheme="majorBidi" w:cstheme="majorBidi"/>
          <w:b/>
          <w:bCs/>
          <w:i/>
          <w:iCs/>
          <w:sz w:val="24"/>
          <w:szCs w:val="24"/>
          <w:lang w:bidi="ar-EG"/>
        </w:rPr>
        <w:t>Abstract</w:t>
      </w:r>
    </w:p>
    <w:p w:rsidR="00B71D71" w:rsidRPr="00C71AD6" w:rsidRDefault="001B7889" w:rsidP="005E3D90">
      <w:pPr>
        <w:bidi w:val="0"/>
        <w:spacing w:after="0" w:line="360" w:lineRule="auto"/>
        <w:ind w:firstLine="567"/>
        <w:jc w:val="both"/>
        <w:rPr>
          <w:rFonts w:asciiTheme="majorBidi" w:hAnsiTheme="majorBidi" w:cstheme="majorBidi"/>
          <w:sz w:val="24"/>
          <w:szCs w:val="24"/>
        </w:rPr>
      </w:pPr>
      <w:r w:rsidRPr="00C71AD6">
        <w:rPr>
          <w:rStyle w:val="highlight"/>
          <w:rFonts w:asciiTheme="majorBidi" w:hAnsiTheme="majorBidi" w:cstheme="majorBidi"/>
          <w:sz w:val="24"/>
          <w:szCs w:val="24"/>
        </w:rPr>
        <w:t>Trichloroethylene</w:t>
      </w:r>
      <w:r w:rsidRPr="00C71AD6">
        <w:rPr>
          <w:rFonts w:asciiTheme="majorBidi" w:hAnsiTheme="majorBidi" w:cstheme="majorBidi"/>
          <w:sz w:val="24"/>
          <w:szCs w:val="24"/>
        </w:rPr>
        <w:t xml:space="preserve"> (TCE) is readily absorbed into the body through the lungs and gastrointestinal mucosa. Exposure to TCE can occur from contamination of air, water, and food; and this contamination may be sufficient to produce adverse </w:t>
      </w:r>
      <w:r w:rsidRPr="00C71AD6">
        <w:rPr>
          <w:rStyle w:val="highlight"/>
          <w:rFonts w:asciiTheme="majorBidi" w:hAnsiTheme="majorBidi" w:cstheme="majorBidi"/>
          <w:sz w:val="24"/>
          <w:szCs w:val="24"/>
        </w:rPr>
        <w:t>effects</w:t>
      </w:r>
      <w:r w:rsidRPr="00C71AD6">
        <w:rPr>
          <w:rFonts w:asciiTheme="majorBidi" w:hAnsiTheme="majorBidi" w:cstheme="majorBidi"/>
          <w:sz w:val="24"/>
          <w:szCs w:val="24"/>
        </w:rPr>
        <w:t xml:space="preserve"> in the exposed populations. </w:t>
      </w:r>
      <w:r w:rsidR="004A636D" w:rsidRPr="00C71AD6">
        <w:rPr>
          <w:rFonts w:asciiTheme="majorBidi" w:hAnsiTheme="majorBidi" w:cstheme="majorBidi"/>
          <w:sz w:val="24"/>
          <w:szCs w:val="24"/>
        </w:rPr>
        <w:t xml:space="preserve">Oral administration of </w:t>
      </w:r>
      <w:r w:rsidR="004A636D" w:rsidRPr="00C71AD6">
        <w:rPr>
          <w:rStyle w:val="highlight"/>
          <w:rFonts w:asciiTheme="majorBidi" w:hAnsiTheme="majorBidi" w:cstheme="majorBidi"/>
          <w:sz w:val="24"/>
          <w:szCs w:val="24"/>
        </w:rPr>
        <w:t>trichloroethylene</w:t>
      </w:r>
      <w:r w:rsidR="004A636D" w:rsidRPr="00C71AD6">
        <w:rPr>
          <w:rFonts w:asciiTheme="majorBidi" w:hAnsiTheme="majorBidi" w:cstheme="majorBidi"/>
          <w:sz w:val="24"/>
          <w:szCs w:val="24"/>
        </w:rPr>
        <w:t xml:space="preserve"> (TCE; 0, 24 and 240 mg/kg/day) to female mice once daily for a period of 21 days before mating and till 5</w:t>
      </w:r>
      <w:r w:rsidR="004A636D" w:rsidRPr="00C71AD6">
        <w:rPr>
          <w:rFonts w:asciiTheme="majorBidi" w:hAnsiTheme="majorBidi" w:cstheme="majorBidi"/>
          <w:sz w:val="24"/>
          <w:szCs w:val="24"/>
          <w:vertAlign w:val="superscript"/>
        </w:rPr>
        <w:t>th</w:t>
      </w:r>
      <w:r w:rsidR="004A636D" w:rsidRPr="00C71AD6">
        <w:rPr>
          <w:rFonts w:asciiTheme="majorBidi" w:hAnsiTheme="majorBidi" w:cstheme="majorBidi"/>
          <w:sz w:val="24"/>
          <w:szCs w:val="24"/>
        </w:rPr>
        <w:t xml:space="preserve"> and 7</w:t>
      </w:r>
      <w:r w:rsidR="004A636D" w:rsidRPr="00C71AD6">
        <w:rPr>
          <w:rFonts w:asciiTheme="majorBidi" w:hAnsiTheme="majorBidi" w:cstheme="majorBidi"/>
          <w:sz w:val="24"/>
          <w:szCs w:val="24"/>
          <w:vertAlign w:val="superscript"/>
        </w:rPr>
        <w:t>th</w:t>
      </w:r>
      <w:r w:rsidR="004A636D" w:rsidRPr="00C71AD6">
        <w:rPr>
          <w:rFonts w:asciiTheme="majorBidi" w:hAnsiTheme="majorBidi" w:cstheme="majorBidi"/>
          <w:sz w:val="24"/>
          <w:szCs w:val="24"/>
        </w:rPr>
        <w:t xml:space="preserve"> day of pregnancy, caused a significant decrease in </w:t>
      </w:r>
      <w:r w:rsidR="004A636D" w:rsidRPr="00C71AD6">
        <w:rPr>
          <w:rFonts w:asciiTheme="majorBidi" w:hAnsiTheme="majorBidi" w:cstheme="majorBidi"/>
          <w:sz w:val="24"/>
          <w:szCs w:val="24"/>
          <w:lang w:bidi="ar-EG"/>
        </w:rPr>
        <w:t>the body weight for non-pregnant females and weight gain for pregnant females. The percentage of</w:t>
      </w:r>
      <w:r w:rsidR="00DA2BA2" w:rsidRPr="00C71AD6">
        <w:rPr>
          <w:rFonts w:asciiTheme="majorBidi" w:hAnsiTheme="majorBidi" w:cstheme="majorBidi"/>
          <w:sz w:val="24"/>
          <w:szCs w:val="24"/>
          <w:lang w:bidi="ar-EG"/>
        </w:rPr>
        <w:t xml:space="preserve"> survival and</w:t>
      </w:r>
      <w:r w:rsidR="004A636D" w:rsidRPr="00C71AD6">
        <w:rPr>
          <w:rFonts w:asciiTheme="majorBidi" w:hAnsiTheme="majorBidi" w:cstheme="majorBidi"/>
          <w:sz w:val="24"/>
          <w:szCs w:val="24"/>
          <w:lang w:bidi="ar-EG"/>
        </w:rPr>
        <w:t xml:space="preserve"> abortion </w:t>
      </w:r>
      <w:r w:rsidR="00DA2BA2" w:rsidRPr="00C71AD6">
        <w:rPr>
          <w:rFonts w:asciiTheme="majorBidi" w:hAnsiTheme="majorBidi" w:cstheme="majorBidi"/>
          <w:sz w:val="24"/>
          <w:szCs w:val="24"/>
          <w:lang w:bidi="ar-EG"/>
        </w:rPr>
        <w:t xml:space="preserve">were </w:t>
      </w:r>
      <w:r w:rsidR="004A636D" w:rsidRPr="00C71AD6">
        <w:rPr>
          <w:rFonts w:asciiTheme="majorBidi" w:hAnsiTheme="majorBidi" w:cstheme="majorBidi"/>
          <w:sz w:val="24"/>
          <w:szCs w:val="24"/>
          <w:lang w:bidi="ar-EG"/>
        </w:rPr>
        <w:t>also significantly decreased by TCE treatment</w:t>
      </w:r>
      <w:r w:rsidR="00DA2BA2" w:rsidRPr="00C71AD6">
        <w:rPr>
          <w:rFonts w:asciiTheme="majorBidi" w:hAnsiTheme="majorBidi" w:cstheme="majorBidi"/>
          <w:sz w:val="24"/>
          <w:szCs w:val="24"/>
          <w:lang w:bidi="ar-EG"/>
        </w:rPr>
        <w:t xml:space="preserve"> for non- pregnant and pregnant females.  Histological examination for the</w:t>
      </w:r>
      <w:r w:rsidR="00A73462" w:rsidRPr="00C71AD6">
        <w:rPr>
          <w:rFonts w:asciiTheme="majorBidi" w:hAnsiTheme="majorBidi" w:cstheme="majorBidi"/>
          <w:sz w:val="24"/>
          <w:szCs w:val="24"/>
          <w:lang w:bidi="ar-EG"/>
        </w:rPr>
        <w:t xml:space="preserve"> obtained 6 and 8 day mice embryos</w:t>
      </w:r>
      <w:r w:rsidR="00DA2BA2" w:rsidRPr="00C71AD6">
        <w:rPr>
          <w:rFonts w:asciiTheme="majorBidi" w:hAnsiTheme="majorBidi" w:cstheme="majorBidi"/>
          <w:sz w:val="24"/>
          <w:szCs w:val="24"/>
          <w:lang w:bidi="ar-EG"/>
        </w:rPr>
        <w:t xml:space="preserve"> from treated mothers</w:t>
      </w:r>
      <w:r w:rsidR="00A73462" w:rsidRPr="00C71AD6">
        <w:rPr>
          <w:rFonts w:asciiTheme="majorBidi" w:hAnsiTheme="majorBidi" w:cstheme="majorBidi"/>
          <w:sz w:val="24"/>
          <w:szCs w:val="24"/>
          <w:lang w:bidi="ar-EG"/>
        </w:rPr>
        <w:t xml:space="preserve"> </w:t>
      </w:r>
      <w:r w:rsidR="00DA2BA2" w:rsidRPr="00C71AD6">
        <w:rPr>
          <w:rFonts w:asciiTheme="majorBidi" w:hAnsiTheme="majorBidi" w:cstheme="majorBidi"/>
          <w:sz w:val="24"/>
          <w:szCs w:val="24"/>
          <w:lang w:bidi="ar-EG"/>
        </w:rPr>
        <w:t>showed</w:t>
      </w:r>
      <w:r w:rsidR="00A925F1" w:rsidRPr="00C71AD6">
        <w:rPr>
          <w:rFonts w:asciiTheme="majorBidi" w:hAnsiTheme="majorBidi" w:cstheme="majorBidi"/>
          <w:sz w:val="24"/>
          <w:szCs w:val="24"/>
          <w:lang w:bidi="ar-EG"/>
        </w:rPr>
        <w:t xml:space="preserve"> some</w:t>
      </w:r>
      <w:r w:rsidR="00DA2BA2" w:rsidRPr="00C71AD6">
        <w:rPr>
          <w:rFonts w:asciiTheme="majorBidi" w:hAnsiTheme="majorBidi" w:cstheme="majorBidi"/>
          <w:sz w:val="24"/>
          <w:szCs w:val="24"/>
          <w:lang w:bidi="ar-EG"/>
        </w:rPr>
        <w:t xml:space="preserve"> </w:t>
      </w:r>
      <w:proofErr w:type="spellStart"/>
      <w:r w:rsidR="00DA2BA2" w:rsidRPr="00C71AD6">
        <w:rPr>
          <w:rFonts w:asciiTheme="majorBidi" w:hAnsiTheme="majorBidi" w:cstheme="majorBidi"/>
          <w:sz w:val="24"/>
          <w:szCs w:val="24"/>
          <w:lang w:bidi="ar-EG"/>
        </w:rPr>
        <w:t>histopathological</w:t>
      </w:r>
      <w:proofErr w:type="spellEnd"/>
      <w:r w:rsidR="00DA2BA2" w:rsidRPr="00C71AD6">
        <w:rPr>
          <w:rFonts w:asciiTheme="majorBidi" w:hAnsiTheme="majorBidi" w:cstheme="majorBidi"/>
          <w:sz w:val="24"/>
          <w:szCs w:val="24"/>
          <w:lang w:bidi="ar-EG"/>
        </w:rPr>
        <w:t xml:space="preserve"> alterations</w:t>
      </w:r>
      <w:r w:rsidR="00A925F1" w:rsidRPr="00C71AD6">
        <w:rPr>
          <w:rFonts w:asciiTheme="majorBidi" w:hAnsiTheme="majorBidi" w:cstheme="majorBidi"/>
          <w:sz w:val="24"/>
          <w:szCs w:val="24"/>
          <w:lang w:bidi="ar-EG"/>
        </w:rPr>
        <w:t xml:space="preserve"> in compared with the normal control embryos. These alterations indicated that</w:t>
      </w:r>
      <w:r w:rsidR="00E71BE4" w:rsidRPr="00C71AD6">
        <w:rPr>
          <w:rFonts w:asciiTheme="majorBidi" w:hAnsiTheme="majorBidi" w:cstheme="majorBidi"/>
          <w:sz w:val="24"/>
          <w:szCs w:val="24"/>
          <w:lang w:bidi="ar-EG"/>
        </w:rPr>
        <w:t xml:space="preserve"> TCE treatment resulted in retarded,</w:t>
      </w:r>
      <w:r w:rsidRPr="00C71AD6">
        <w:rPr>
          <w:rFonts w:asciiTheme="majorBidi" w:hAnsiTheme="majorBidi" w:cstheme="majorBidi"/>
          <w:sz w:val="24"/>
          <w:szCs w:val="24"/>
          <w:lang w:bidi="ar-EG"/>
        </w:rPr>
        <w:t xml:space="preserve"> delayed and</w:t>
      </w:r>
      <w:r w:rsidR="00E71BE4" w:rsidRPr="00C71AD6">
        <w:rPr>
          <w:rFonts w:asciiTheme="majorBidi" w:hAnsiTheme="majorBidi" w:cstheme="majorBidi"/>
          <w:sz w:val="24"/>
          <w:szCs w:val="24"/>
          <w:lang w:bidi="ar-EG"/>
        </w:rPr>
        <w:t xml:space="preserve"> deformed</w:t>
      </w:r>
      <w:r w:rsidRPr="00C71AD6">
        <w:rPr>
          <w:rFonts w:asciiTheme="majorBidi" w:hAnsiTheme="majorBidi" w:cstheme="majorBidi"/>
          <w:sz w:val="24"/>
          <w:szCs w:val="24"/>
          <w:lang w:bidi="ar-EG"/>
        </w:rPr>
        <w:t xml:space="preserve"> embryos. </w:t>
      </w:r>
      <w:r w:rsidR="00E71BE4" w:rsidRPr="00C71AD6">
        <w:rPr>
          <w:rFonts w:asciiTheme="majorBidi" w:hAnsiTheme="majorBidi" w:cstheme="majorBidi"/>
          <w:sz w:val="24"/>
          <w:szCs w:val="24"/>
        </w:rPr>
        <w:t xml:space="preserve">The results suggest that </w:t>
      </w:r>
      <w:r w:rsidR="00A925F1" w:rsidRPr="00C71AD6">
        <w:rPr>
          <w:rFonts w:asciiTheme="majorBidi" w:hAnsiTheme="majorBidi" w:cstheme="majorBidi"/>
          <w:sz w:val="24"/>
          <w:szCs w:val="24"/>
          <w:lang w:bidi="ar-EG"/>
        </w:rPr>
        <w:t xml:space="preserve">TCE has </w:t>
      </w:r>
      <w:proofErr w:type="spellStart"/>
      <w:r w:rsidR="00A925F1" w:rsidRPr="00C71AD6">
        <w:rPr>
          <w:rFonts w:asciiTheme="majorBidi" w:hAnsiTheme="majorBidi" w:cstheme="majorBidi"/>
          <w:sz w:val="24"/>
          <w:szCs w:val="24"/>
          <w:lang w:bidi="ar-EG"/>
        </w:rPr>
        <w:t>teratogenic</w:t>
      </w:r>
      <w:proofErr w:type="spellEnd"/>
      <w:r w:rsidR="00A925F1" w:rsidRPr="00C71AD6">
        <w:rPr>
          <w:rFonts w:asciiTheme="majorBidi" w:hAnsiTheme="majorBidi" w:cstheme="majorBidi"/>
          <w:sz w:val="24"/>
          <w:szCs w:val="24"/>
          <w:lang w:bidi="ar-EG"/>
        </w:rPr>
        <w:t xml:space="preserve"> and </w:t>
      </w:r>
      <w:proofErr w:type="spellStart"/>
      <w:r w:rsidR="00A925F1" w:rsidRPr="00C71AD6">
        <w:rPr>
          <w:rFonts w:asciiTheme="majorBidi" w:hAnsiTheme="majorBidi" w:cstheme="majorBidi"/>
          <w:sz w:val="24"/>
          <w:szCs w:val="24"/>
          <w:lang w:bidi="ar-EG"/>
        </w:rPr>
        <w:t>embryotoxic</w:t>
      </w:r>
      <w:proofErr w:type="spellEnd"/>
      <w:r w:rsidR="00A925F1" w:rsidRPr="00C71AD6">
        <w:rPr>
          <w:rFonts w:asciiTheme="majorBidi" w:hAnsiTheme="majorBidi" w:cstheme="majorBidi"/>
          <w:sz w:val="24"/>
          <w:szCs w:val="24"/>
          <w:lang w:bidi="ar-EG"/>
        </w:rPr>
        <w:t xml:space="preserve"> </w:t>
      </w:r>
      <w:r w:rsidR="00E71BE4" w:rsidRPr="00C71AD6">
        <w:rPr>
          <w:rFonts w:asciiTheme="majorBidi" w:hAnsiTheme="majorBidi" w:cstheme="majorBidi"/>
          <w:sz w:val="24"/>
          <w:szCs w:val="24"/>
          <w:lang w:bidi="ar-EG"/>
        </w:rPr>
        <w:t>effects on</w:t>
      </w:r>
      <w:r w:rsidR="00A925F1" w:rsidRPr="00C71AD6">
        <w:rPr>
          <w:rFonts w:asciiTheme="majorBidi" w:hAnsiTheme="majorBidi" w:cstheme="majorBidi"/>
          <w:sz w:val="24"/>
          <w:szCs w:val="24"/>
          <w:lang w:bidi="ar-EG"/>
        </w:rPr>
        <w:t xml:space="preserve"> the development of mice embryos</w:t>
      </w:r>
      <w:r w:rsidR="00E71BE4" w:rsidRPr="00C71AD6">
        <w:rPr>
          <w:rFonts w:asciiTheme="majorBidi" w:hAnsiTheme="majorBidi" w:cstheme="majorBidi"/>
          <w:sz w:val="24"/>
          <w:szCs w:val="24"/>
          <w:lang w:bidi="ar-EG"/>
        </w:rPr>
        <w:t xml:space="preserve"> </w:t>
      </w:r>
      <w:r w:rsidR="00E71BE4" w:rsidRPr="00C71AD6">
        <w:rPr>
          <w:rFonts w:asciiTheme="majorBidi" w:hAnsiTheme="majorBidi" w:cstheme="majorBidi"/>
          <w:sz w:val="24"/>
          <w:szCs w:val="24"/>
        </w:rPr>
        <w:t>following a sh</w:t>
      </w:r>
      <w:r w:rsidR="003E0A5E" w:rsidRPr="00C71AD6">
        <w:rPr>
          <w:rFonts w:asciiTheme="majorBidi" w:hAnsiTheme="majorBidi" w:cstheme="majorBidi"/>
          <w:sz w:val="24"/>
          <w:szCs w:val="24"/>
        </w:rPr>
        <w:t>ort-term exposure of TCE</w:t>
      </w:r>
      <w:r w:rsidR="00E71BE4" w:rsidRPr="00C71AD6">
        <w:rPr>
          <w:rFonts w:asciiTheme="majorBidi" w:hAnsiTheme="majorBidi" w:cstheme="majorBidi"/>
          <w:sz w:val="24"/>
          <w:szCs w:val="24"/>
          <w:lang w:bidi="ar-EG"/>
        </w:rPr>
        <w:t xml:space="preserve">. </w:t>
      </w:r>
    </w:p>
    <w:p w:rsidR="002A4F57" w:rsidRPr="00F27177" w:rsidRDefault="00B71D71" w:rsidP="005E3D90">
      <w:pPr>
        <w:pBdr>
          <w:bottom w:val="single" w:sz="6" w:space="1" w:color="auto"/>
        </w:pBdr>
        <w:bidi w:val="0"/>
        <w:spacing w:after="0" w:line="360" w:lineRule="auto"/>
        <w:rPr>
          <w:rFonts w:asciiTheme="majorBidi" w:hAnsiTheme="majorBidi" w:cstheme="majorBidi"/>
          <w:b/>
          <w:bCs/>
          <w:i/>
          <w:iCs/>
          <w:sz w:val="16"/>
          <w:szCs w:val="16"/>
          <w:lang w:bidi="ar-EG"/>
        </w:rPr>
      </w:pPr>
      <w:r w:rsidRPr="00F27177">
        <w:rPr>
          <w:rFonts w:asciiTheme="majorBidi" w:hAnsiTheme="majorBidi" w:cstheme="majorBidi"/>
          <w:b/>
          <w:bCs/>
          <w:i/>
          <w:iCs/>
          <w:sz w:val="16"/>
          <w:szCs w:val="16"/>
          <w:lang w:bidi="ar-EG"/>
        </w:rPr>
        <w:t xml:space="preserve">Key words: trichloroethylene; </w:t>
      </w:r>
      <w:r w:rsidR="00343408" w:rsidRPr="00F27177">
        <w:rPr>
          <w:rFonts w:asciiTheme="majorBidi" w:hAnsiTheme="majorBidi" w:cstheme="majorBidi"/>
          <w:b/>
          <w:bCs/>
          <w:i/>
          <w:iCs/>
          <w:sz w:val="16"/>
          <w:szCs w:val="16"/>
          <w:lang w:bidi="ar-EG"/>
        </w:rPr>
        <w:t>6</w:t>
      </w:r>
      <w:r w:rsidR="00343408" w:rsidRPr="00F27177">
        <w:rPr>
          <w:rFonts w:asciiTheme="majorBidi" w:hAnsiTheme="majorBidi" w:cstheme="majorBidi"/>
          <w:b/>
          <w:bCs/>
          <w:i/>
          <w:iCs/>
          <w:sz w:val="16"/>
          <w:szCs w:val="16"/>
          <w:vertAlign w:val="superscript"/>
          <w:lang w:bidi="ar-EG"/>
        </w:rPr>
        <w:t>th</w:t>
      </w:r>
      <w:r w:rsidR="00343408" w:rsidRPr="00F27177">
        <w:rPr>
          <w:rFonts w:asciiTheme="majorBidi" w:hAnsiTheme="majorBidi" w:cstheme="majorBidi"/>
          <w:b/>
          <w:bCs/>
          <w:i/>
          <w:iCs/>
          <w:sz w:val="16"/>
          <w:szCs w:val="16"/>
          <w:lang w:bidi="ar-EG"/>
        </w:rPr>
        <w:t xml:space="preserve"> </w:t>
      </w:r>
      <w:r w:rsidR="003E0A5E" w:rsidRPr="00F27177">
        <w:rPr>
          <w:rFonts w:asciiTheme="majorBidi" w:hAnsiTheme="majorBidi" w:cstheme="majorBidi"/>
          <w:b/>
          <w:bCs/>
          <w:i/>
          <w:iCs/>
          <w:sz w:val="16"/>
          <w:szCs w:val="16"/>
          <w:lang w:bidi="ar-EG"/>
        </w:rPr>
        <w:t>and 8</w:t>
      </w:r>
      <w:r w:rsidR="003E0A5E" w:rsidRPr="00F27177">
        <w:rPr>
          <w:rFonts w:asciiTheme="majorBidi" w:hAnsiTheme="majorBidi" w:cstheme="majorBidi"/>
          <w:b/>
          <w:bCs/>
          <w:i/>
          <w:iCs/>
          <w:sz w:val="16"/>
          <w:szCs w:val="16"/>
          <w:vertAlign w:val="superscript"/>
          <w:lang w:bidi="ar-EG"/>
        </w:rPr>
        <w:t>th</w:t>
      </w:r>
      <w:r w:rsidR="003E0A5E" w:rsidRPr="00F27177">
        <w:rPr>
          <w:rFonts w:asciiTheme="majorBidi" w:hAnsiTheme="majorBidi" w:cstheme="majorBidi"/>
          <w:b/>
          <w:bCs/>
          <w:i/>
          <w:iCs/>
          <w:sz w:val="16"/>
          <w:szCs w:val="16"/>
          <w:lang w:bidi="ar-EG"/>
        </w:rPr>
        <w:t xml:space="preserve"> </w:t>
      </w:r>
      <w:r w:rsidR="00343408" w:rsidRPr="00F27177">
        <w:rPr>
          <w:rFonts w:asciiTheme="majorBidi" w:hAnsiTheme="majorBidi" w:cstheme="majorBidi"/>
          <w:b/>
          <w:bCs/>
          <w:i/>
          <w:iCs/>
          <w:sz w:val="16"/>
          <w:szCs w:val="16"/>
          <w:lang w:bidi="ar-EG"/>
        </w:rPr>
        <w:t>day mouse embryo</w:t>
      </w:r>
      <w:r w:rsidRPr="00F27177">
        <w:rPr>
          <w:rFonts w:asciiTheme="majorBidi" w:hAnsiTheme="majorBidi" w:cstheme="majorBidi"/>
          <w:b/>
          <w:bCs/>
          <w:i/>
          <w:iCs/>
          <w:sz w:val="16"/>
          <w:szCs w:val="16"/>
          <w:lang w:bidi="ar-EG"/>
        </w:rPr>
        <w:t>;</w:t>
      </w:r>
      <w:r w:rsidR="00765E09">
        <w:rPr>
          <w:rFonts w:asciiTheme="majorBidi" w:hAnsiTheme="majorBidi" w:cstheme="majorBidi"/>
          <w:b/>
          <w:bCs/>
          <w:i/>
          <w:iCs/>
          <w:sz w:val="16"/>
          <w:szCs w:val="16"/>
          <w:lang w:bidi="ar-EG"/>
        </w:rPr>
        <w:t xml:space="preserve"> </w:t>
      </w:r>
      <w:r w:rsidRPr="00F27177">
        <w:rPr>
          <w:rFonts w:asciiTheme="majorBidi" w:hAnsiTheme="majorBidi" w:cstheme="majorBidi"/>
          <w:b/>
          <w:bCs/>
          <w:i/>
          <w:iCs/>
          <w:sz w:val="16"/>
          <w:szCs w:val="16"/>
          <w:lang w:bidi="ar-EG"/>
        </w:rPr>
        <w:t>early developmental stages</w:t>
      </w:r>
    </w:p>
    <w:p w:rsidR="00833E56" w:rsidRPr="00C71AD6" w:rsidRDefault="00833E56" w:rsidP="005E3D90">
      <w:pPr>
        <w:pStyle w:val="ListParagraph"/>
        <w:numPr>
          <w:ilvl w:val="0"/>
          <w:numId w:val="1"/>
        </w:numPr>
        <w:bidi w:val="0"/>
        <w:spacing w:after="0" w:line="360" w:lineRule="auto"/>
        <w:ind w:left="284"/>
        <w:rPr>
          <w:rFonts w:asciiTheme="majorBidi" w:hAnsiTheme="majorBidi" w:cstheme="majorBidi"/>
          <w:b/>
          <w:bCs/>
          <w:sz w:val="24"/>
          <w:szCs w:val="24"/>
          <w:lang w:bidi="ar-EG"/>
        </w:rPr>
      </w:pPr>
      <w:r w:rsidRPr="00C71AD6">
        <w:rPr>
          <w:rFonts w:asciiTheme="majorBidi" w:hAnsiTheme="majorBidi" w:cstheme="majorBidi"/>
          <w:b/>
          <w:bCs/>
          <w:sz w:val="24"/>
          <w:szCs w:val="24"/>
          <w:lang w:bidi="ar-EG"/>
        </w:rPr>
        <w:t>Introduction</w:t>
      </w:r>
    </w:p>
    <w:p w:rsidR="00E212D8" w:rsidRPr="00C71AD6" w:rsidRDefault="00833E56" w:rsidP="005E3D90">
      <w:pPr>
        <w:tabs>
          <w:tab w:val="right" w:pos="567"/>
        </w:tabs>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Trichloroethylene (TCE) is a chlorinated hydrocarbon, not naturally found in the environment (man-made)</w:t>
      </w:r>
      <w:r w:rsidR="00B71D71" w:rsidRPr="00C71AD6">
        <w:rPr>
          <w:rStyle w:val="PageNumber"/>
          <w:rFonts w:asciiTheme="majorBidi" w:hAnsiTheme="majorBidi" w:cstheme="majorBidi"/>
          <w:sz w:val="24"/>
          <w:szCs w:val="24"/>
        </w:rPr>
        <w:t>;</w:t>
      </w:r>
      <w:r w:rsidRPr="00C71AD6">
        <w:rPr>
          <w:rStyle w:val="PageNumber"/>
          <w:rFonts w:asciiTheme="majorBidi" w:hAnsiTheme="majorBidi" w:cstheme="majorBidi"/>
          <w:sz w:val="24"/>
          <w:szCs w:val="24"/>
        </w:rPr>
        <w:t xml:space="preserve"> it is an environmental toxicant due to production, use and disposal. It is a </w:t>
      </w:r>
      <w:r w:rsidR="00343408" w:rsidRPr="00C71AD6">
        <w:rPr>
          <w:rStyle w:val="PageNumber"/>
          <w:rFonts w:asciiTheme="majorBidi" w:hAnsiTheme="majorBidi" w:cstheme="majorBidi"/>
          <w:sz w:val="24"/>
          <w:szCs w:val="24"/>
        </w:rPr>
        <w:t>colorless</w:t>
      </w:r>
      <w:r w:rsidRPr="00C71AD6">
        <w:rPr>
          <w:rStyle w:val="PageNumber"/>
          <w:rFonts w:asciiTheme="majorBidi" w:hAnsiTheme="majorBidi" w:cstheme="majorBidi"/>
          <w:sz w:val="24"/>
          <w:szCs w:val="24"/>
        </w:rPr>
        <w:t xml:space="preserve"> non-flammable liquid with a sweet </w:t>
      </w:r>
      <w:proofErr w:type="spellStart"/>
      <w:r w:rsidRPr="00C71AD6">
        <w:rPr>
          <w:rStyle w:val="PageNumber"/>
          <w:rFonts w:asciiTheme="majorBidi" w:hAnsiTheme="majorBidi" w:cstheme="majorBidi"/>
          <w:sz w:val="24"/>
          <w:szCs w:val="24"/>
        </w:rPr>
        <w:t>odour</w:t>
      </w:r>
      <w:proofErr w:type="spellEnd"/>
      <w:r w:rsidRPr="00C71AD6">
        <w:rPr>
          <w:rStyle w:val="PageNumber"/>
          <w:rFonts w:asciiTheme="majorBidi" w:hAnsiTheme="majorBidi" w:cstheme="majorBidi"/>
          <w:sz w:val="24"/>
          <w:szCs w:val="24"/>
        </w:rPr>
        <w:t xml:space="preserve">. TCE is detectable in underground water sources, surface water, and the air </w:t>
      </w:r>
      <w:r w:rsidRPr="00F27177">
        <w:rPr>
          <w:rStyle w:val="PageNumber"/>
          <w:rFonts w:asciiTheme="majorBidi" w:hAnsiTheme="majorBidi" w:cstheme="majorBidi"/>
          <w:sz w:val="24"/>
          <w:szCs w:val="24"/>
        </w:rPr>
        <w:t>(</w:t>
      </w:r>
      <w:proofErr w:type="spellStart"/>
      <w:r w:rsidRPr="00F27177">
        <w:rPr>
          <w:rStyle w:val="PageNumber"/>
          <w:rFonts w:asciiTheme="majorBidi" w:hAnsiTheme="majorBidi" w:cstheme="majorBidi"/>
          <w:sz w:val="24"/>
          <w:szCs w:val="24"/>
        </w:rPr>
        <w:t>Ugden</w:t>
      </w:r>
      <w:proofErr w:type="spellEnd"/>
      <w:r w:rsidRPr="00F27177">
        <w:rPr>
          <w:rStyle w:val="PageNumber"/>
          <w:rFonts w:asciiTheme="majorBidi" w:hAnsiTheme="majorBidi" w:cstheme="majorBidi"/>
          <w:sz w:val="24"/>
          <w:szCs w:val="24"/>
        </w:rPr>
        <w:t xml:space="preserve"> et al., 1983)</w:t>
      </w:r>
      <w:r w:rsidRPr="00C71AD6">
        <w:rPr>
          <w:rStyle w:val="PageNumber"/>
          <w:rFonts w:asciiTheme="majorBidi" w:hAnsiTheme="majorBidi" w:cstheme="majorBidi"/>
          <w:sz w:val="24"/>
          <w:szCs w:val="24"/>
        </w:rPr>
        <w:t>.</w:t>
      </w:r>
      <w:r w:rsidR="002221A4" w:rsidRPr="00C71AD6">
        <w:rPr>
          <w:rStyle w:val="PageNumber"/>
          <w:rFonts w:asciiTheme="majorBidi" w:hAnsiTheme="majorBidi" w:cstheme="majorBidi"/>
          <w:sz w:val="24"/>
          <w:szCs w:val="24"/>
        </w:rPr>
        <w:t xml:space="preserve"> </w:t>
      </w:r>
      <w:r w:rsidRPr="00C71AD6">
        <w:rPr>
          <w:rStyle w:val="PageNumber"/>
          <w:rFonts w:asciiTheme="majorBidi" w:hAnsiTheme="majorBidi" w:cstheme="majorBidi"/>
          <w:sz w:val="24"/>
          <w:szCs w:val="24"/>
        </w:rPr>
        <w:t>TCE is produced in the petrochemical industry and has many uses, such as in dry cleaning operations, paint and printing ink removal, fumigation of rodent</w:t>
      </w:r>
      <w:r w:rsidR="00F27177">
        <w:rPr>
          <w:rStyle w:val="PageNumber"/>
          <w:rFonts w:asciiTheme="majorBidi" w:hAnsiTheme="majorBidi" w:cstheme="majorBidi"/>
          <w:sz w:val="24"/>
          <w:szCs w:val="24"/>
        </w:rPr>
        <w:t xml:space="preserve">s, manufacturing fluorocarbons, </w:t>
      </w:r>
      <w:r w:rsidR="00F27177" w:rsidRPr="00C71AD6">
        <w:rPr>
          <w:rStyle w:val="PageNumber"/>
          <w:rFonts w:asciiTheme="majorBidi" w:hAnsiTheme="majorBidi" w:cstheme="majorBidi"/>
          <w:sz w:val="24"/>
          <w:szCs w:val="24"/>
        </w:rPr>
        <w:t>beverages (decaffeination of coffee), pet foods,</w:t>
      </w:r>
      <w:r w:rsidR="00F27177">
        <w:rPr>
          <w:rStyle w:val="PageNumber"/>
          <w:rFonts w:asciiTheme="majorBidi" w:hAnsiTheme="majorBidi" w:cstheme="majorBidi"/>
          <w:sz w:val="24"/>
          <w:szCs w:val="24"/>
        </w:rPr>
        <w:t xml:space="preserve"> medicine, pharmaceuticals, </w:t>
      </w:r>
      <w:r w:rsidR="00F27177" w:rsidRPr="00C71AD6">
        <w:rPr>
          <w:rStyle w:val="PageNumber"/>
          <w:rFonts w:asciiTheme="majorBidi" w:hAnsiTheme="majorBidi" w:cstheme="majorBidi"/>
          <w:sz w:val="24"/>
          <w:szCs w:val="24"/>
        </w:rPr>
        <w:t xml:space="preserve">cosmetics and as an </w:t>
      </w:r>
      <w:proofErr w:type="spellStart"/>
      <w:r w:rsidR="00F27177" w:rsidRPr="00C71AD6">
        <w:rPr>
          <w:rStyle w:val="PageNumber"/>
          <w:rFonts w:asciiTheme="majorBidi" w:hAnsiTheme="majorBidi" w:cstheme="majorBidi"/>
          <w:sz w:val="24"/>
          <w:szCs w:val="24"/>
        </w:rPr>
        <w:t>anaesthetic</w:t>
      </w:r>
      <w:proofErr w:type="spellEnd"/>
      <w:r w:rsidR="00F27177" w:rsidRPr="00C71AD6">
        <w:rPr>
          <w:rStyle w:val="PageNumber"/>
          <w:rFonts w:asciiTheme="majorBidi" w:hAnsiTheme="majorBidi" w:cstheme="majorBidi"/>
          <w:sz w:val="24"/>
          <w:szCs w:val="24"/>
        </w:rPr>
        <w:t xml:space="preserve"> agent (Kaneko et al., 1997; IARC, 1995 and </w:t>
      </w:r>
      <w:proofErr w:type="spellStart"/>
      <w:r w:rsidR="00F27177" w:rsidRPr="00C71AD6">
        <w:rPr>
          <w:rStyle w:val="PageNumber"/>
          <w:rFonts w:asciiTheme="majorBidi" w:hAnsiTheme="majorBidi" w:cstheme="majorBidi"/>
          <w:sz w:val="24"/>
          <w:szCs w:val="24"/>
        </w:rPr>
        <w:t>Maull</w:t>
      </w:r>
      <w:proofErr w:type="spellEnd"/>
      <w:r w:rsidR="00F27177" w:rsidRPr="00C71AD6">
        <w:rPr>
          <w:rStyle w:val="PageNumber"/>
          <w:rFonts w:asciiTheme="majorBidi" w:hAnsiTheme="majorBidi" w:cstheme="majorBidi"/>
          <w:sz w:val="24"/>
          <w:szCs w:val="24"/>
        </w:rPr>
        <w:t xml:space="preserve"> et al., 1997).</w:t>
      </w:r>
      <w:r w:rsidRPr="00C71AD6">
        <w:rPr>
          <w:rStyle w:val="PageNumber"/>
          <w:rFonts w:asciiTheme="majorBidi" w:hAnsiTheme="majorBidi" w:cstheme="majorBidi"/>
          <w:sz w:val="24"/>
          <w:szCs w:val="24"/>
        </w:rPr>
        <w:t xml:space="preserve"> In addition, it is used in the pharmaceutical industry as a solvent for waxes, fats, resins, and oils and in the aerospace industry for flushing liquid oxygen. Its historical use in foods, </w:t>
      </w:r>
    </w:p>
    <w:p w:rsidR="00E212D8" w:rsidRPr="00C71AD6" w:rsidRDefault="002221A4" w:rsidP="005E3D90">
      <w:pPr>
        <w:tabs>
          <w:tab w:val="right" w:pos="567"/>
        </w:tabs>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Trichloroethylene is readily absorbed following both oral and inhalation exposures. It is also absorbed from the gastrointestinal tract into the systemic circulation in animals. Using </w:t>
      </w:r>
      <w:proofErr w:type="spellStart"/>
      <w:r w:rsidRPr="00C71AD6">
        <w:rPr>
          <w:rStyle w:val="PageNumber"/>
          <w:rFonts w:asciiTheme="majorBidi" w:hAnsiTheme="majorBidi" w:cstheme="majorBidi"/>
          <w:sz w:val="24"/>
          <w:szCs w:val="24"/>
        </w:rPr>
        <w:t>radiolabelled</w:t>
      </w:r>
      <w:proofErr w:type="spellEnd"/>
      <w:r w:rsidRPr="00C71AD6">
        <w:rPr>
          <w:rStyle w:val="PageNumber"/>
          <w:rFonts w:asciiTheme="majorBidi" w:hAnsiTheme="majorBidi" w:cstheme="majorBidi"/>
          <w:sz w:val="24"/>
          <w:szCs w:val="24"/>
        </w:rPr>
        <w:t xml:space="preserve"> TCE, Mass balance studies indicated that mice and rats metabolized TCE at </w:t>
      </w:r>
      <w:r w:rsidRPr="00C71AD6">
        <w:rPr>
          <w:rStyle w:val="PageNumber"/>
          <w:rFonts w:asciiTheme="majorBidi" w:hAnsiTheme="majorBidi" w:cstheme="majorBidi"/>
          <w:sz w:val="24"/>
          <w:szCs w:val="24"/>
        </w:rPr>
        <w:lastRenderedPageBreak/>
        <w:t xml:space="preserve">38.10% and 15.10%, respectively, following oral administration in corn oil vehicle. For both species, the lower values were obtained following treatment with large doses in excess of 1000 mg/kg </w:t>
      </w:r>
      <w:proofErr w:type="spellStart"/>
      <w:r w:rsidRPr="00C71AD6">
        <w:rPr>
          <w:rStyle w:val="PageNumber"/>
          <w:rFonts w:asciiTheme="majorBidi" w:hAnsiTheme="majorBidi" w:cstheme="majorBidi"/>
          <w:sz w:val="24"/>
          <w:szCs w:val="24"/>
        </w:rPr>
        <w:t>bw</w:t>
      </w:r>
      <w:proofErr w:type="spellEnd"/>
      <w:r w:rsidRPr="00C71AD6">
        <w:rPr>
          <w:rStyle w:val="PageNumber"/>
          <w:rFonts w:asciiTheme="majorBidi" w:hAnsiTheme="majorBidi" w:cstheme="majorBidi"/>
          <w:sz w:val="24"/>
          <w:szCs w:val="24"/>
        </w:rPr>
        <w:t>, implying that the rate of absorption was higher at low doses than at high doses in both species (</w:t>
      </w:r>
      <w:proofErr w:type="spellStart"/>
      <w:r w:rsidRPr="00C71AD6">
        <w:rPr>
          <w:rStyle w:val="PageNumber"/>
          <w:rFonts w:asciiTheme="majorBidi" w:hAnsiTheme="majorBidi" w:cstheme="majorBidi"/>
          <w:sz w:val="24"/>
          <w:szCs w:val="24"/>
        </w:rPr>
        <w:t>Mitoma</w:t>
      </w:r>
      <w:proofErr w:type="spellEnd"/>
      <w:r w:rsidRPr="00C71AD6">
        <w:rPr>
          <w:rStyle w:val="PageNumber"/>
          <w:rFonts w:asciiTheme="majorBidi" w:hAnsiTheme="majorBidi" w:cstheme="majorBidi"/>
          <w:sz w:val="24"/>
          <w:szCs w:val="24"/>
        </w:rPr>
        <w:t xml:space="preserve"> et al., 1985; </w:t>
      </w:r>
      <w:proofErr w:type="spellStart"/>
      <w:r w:rsidRPr="00C71AD6">
        <w:rPr>
          <w:rStyle w:val="PageNumber"/>
          <w:rFonts w:asciiTheme="majorBidi" w:hAnsiTheme="majorBidi" w:cstheme="majorBidi"/>
          <w:sz w:val="24"/>
          <w:szCs w:val="24"/>
        </w:rPr>
        <w:t>Prout</w:t>
      </w:r>
      <w:proofErr w:type="spellEnd"/>
      <w:r w:rsidRPr="00C71AD6">
        <w:rPr>
          <w:rStyle w:val="PageNumber"/>
          <w:rFonts w:asciiTheme="majorBidi" w:hAnsiTheme="majorBidi" w:cstheme="majorBidi"/>
          <w:sz w:val="24"/>
          <w:szCs w:val="24"/>
        </w:rPr>
        <w:t xml:space="preserve"> et al., 1985 and </w:t>
      </w:r>
      <w:proofErr w:type="spellStart"/>
      <w:r w:rsidRPr="00C71AD6">
        <w:rPr>
          <w:rStyle w:val="PageNumber"/>
          <w:rFonts w:asciiTheme="majorBidi" w:hAnsiTheme="majorBidi" w:cstheme="majorBidi"/>
          <w:sz w:val="24"/>
          <w:szCs w:val="24"/>
        </w:rPr>
        <w:t>Rouisse</w:t>
      </w:r>
      <w:proofErr w:type="spellEnd"/>
      <w:r w:rsidRPr="00C71AD6">
        <w:rPr>
          <w:rStyle w:val="PageNumber"/>
          <w:rFonts w:asciiTheme="majorBidi" w:hAnsiTheme="majorBidi" w:cstheme="majorBidi"/>
          <w:sz w:val="24"/>
          <w:szCs w:val="24"/>
        </w:rPr>
        <w:t xml:space="preserve"> &amp; </w:t>
      </w:r>
      <w:proofErr w:type="spellStart"/>
      <w:r w:rsidRPr="00C71AD6">
        <w:rPr>
          <w:rStyle w:val="PageNumber"/>
          <w:rFonts w:asciiTheme="majorBidi" w:hAnsiTheme="majorBidi" w:cstheme="majorBidi"/>
          <w:sz w:val="24"/>
          <w:szCs w:val="24"/>
        </w:rPr>
        <w:t>Chakrabarti</w:t>
      </w:r>
      <w:proofErr w:type="spellEnd"/>
      <w:r w:rsidRPr="00C71AD6">
        <w:rPr>
          <w:rStyle w:val="PageNumber"/>
          <w:rFonts w:asciiTheme="majorBidi" w:hAnsiTheme="majorBidi" w:cstheme="majorBidi"/>
          <w:sz w:val="24"/>
          <w:szCs w:val="24"/>
        </w:rPr>
        <w:t xml:space="preserve">, 1986). </w:t>
      </w:r>
    </w:p>
    <w:p w:rsidR="00B14BC7" w:rsidRPr="00C71AD6" w:rsidRDefault="00B14BC7" w:rsidP="005E3D90">
      <w:pPr>
        <w:tabs>
          <w:tab w:val="right" w:pos="567"/>
        </w:tabs>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Once absorbed, TCE diffuses readily across biological membranes and is widely distributed to tissues and organs via the circulatory system. Studies in animals </w:t>
      </w:r>
      <w:r w:rsidRPr="00765E09">
        <w:rPr>
          <w:rStyle w:val="PageNumber"/>
          <w:rFonts w:asciiTheme="majorBidi" w:hAnsiTheme="majorBidi" w:cstheme="majorBidi"/>
          <w:b/>
          <w:bCs/>
          <w:sz w:val="24"/>
          <w:szCs w:val="24"/>
        </w:rPr>
        <w:t>(Fernandez et al., 1977; Fisher et al., 1991)</w:t>
      </w:r>
      <w:r w:rsidRPr="00C71AD6">
        <w:rPr>
          <w:rStyle w:val="PageNumber"/>
          <w:rFonts w:asciiTheme="majorBidi" w:hAnsiTheme="majorBidi" w:cstheme="majorBidi"/>
          <w:sz w:val="24"/>
          <w:szCs w:val="24"/>
        </w:rPr>
        <w:t xml:space="preserve"> and humans </w:t>
      </w:r>
      <w:r w:rsidRPr="00765E09">
        <w:rPr>
          <w:rStyle w:val="PageNumber"/>
          <w:rFonts w:asciiTheme="majorBidi" w:hAnsiTheme="majorBidi" w:cstheme="majorBidi"/>
          <w:b/>
          <w:bCs/>
          <w:sz w:val="24"/>
          <w:szCs w:val="24"/>
        </w:rPr>
        <w:t xml:space="preserve">(De </w:t>
      </w:r>
      <w:proofErr w:type="spellStart"/>
      <w:r w:rsidRPr="00765E09">
        <w:rPr>
          <w:rStyle w:val="PageNumber"/>
          <w:rFonts w:asciiTheme="majorBidi" w:hAnsiTheme="majorBidi" w:cstheme="majorBidi"/>
          <w:b/>
          <w:bCs/>
          <w:sz w:val="24"/>
          <w:szCs w:val="24"/>
        </w:rPr>
        <w:t>Baere</w:t>
      </w:r>
      <w:proofErr w:type="spellEnd"/>
      <w:r w:rsidRPr="00765E09">
        <w:rPr>
          <w:rStyle w:val="PageNumber"/>
          <w:rFonts w:asciiTheme="majorBidi" w:hAnsiTheme="majorBidi" w:cstheme="majorBidi"/>
          <w:b/>
          <w:bCs/>
          <w:sz w:val="24"/>
          <w:szCs w:val="24"/>
        </w:rPr>
        <w:t xml:space="preserve"> et al., 1997)</w:t>
      </w:r>
      <w:r w:rsidRPr="00C71AD6">
        <w:rPr>
          <w:rStyle w:val="PageNumber"/>
          <w:rFonts w:asciiTheme="majorBidi" w:hAnsiTheme="majorBidi" w:cstheme="majorBidi"/>
          <w:sz w:val="24"/>
          <w:szCs w:val="24"/>
        </w:rPr>
        <w:t xml:space="preserve"> have found TCE or its metabolites in most major organs and tissues. Also, TCE may accumulate in adipose tissue because of its lipid solubility. Consequently, slow release of TCE from adipose stores might act as an internal source of exposure, ultimately resulting in longer mean residence times and bioavailability of TCE </w:t>
      </w:r>
      <w:r w:rsidRPr="00765E09">
        <w:rPr>
          <w:rStyle w:val="PageNumber"/>
          <w:rFonts w:asciiTheme="majorBidi" w:hAnsiTheme="majorBidi" w:cstheme="majorBidi"/>
          <w:b/>
          <w:bCs/>
          <w:sz w:val="24"/>
          <w:szCs w:val="24"/>
        </w:rPr>
        <w:t xml:space="preserve">(Dallas et al., </w:t>
      </w:r>
      <w:r w:rsidR="00343408" w:rsidRPr="00765E09">
        <w:rPr>
          <w:rStyle w:val="PageNumber"/>
          <w:rFonts w:asciiTheme="majorBidi" w:hAnsiTheme="majorBidi" w:cstheme="majorBidi"/>
          <w:b/>
          <w:bCs/>
          <w:sz w:val="24"/>
          <w:szCs w:val="24"/>
        </w:rPr>
        <w:t>1991;</w:t>
      </w:r>
      <w:r w:rsidRPr="00765E09">
        <w:rPr>
          <w:rStyle w:val="PageNumber"/>
          <w:rFonts w:asciiTheme="majorBidi" w:hAnsiTheme="majorBidi" w:cstheme="majorBidi"/>
          <w:b/>
          <w:bCs/>
          <w:sz w:val="24"/>
          <w:szCs w:val="24"/>
        </w:rPr>
        <w:t xml:space="preserve"> Fisher et al., 1991)</w:t>
      </w:r>
      <w:r w:rsidRPr="00C71AD6">
        <w:rPr>
          <w:rStyle w:val="PageNumber"/>
          <w:rFonts w:asciiTheme="majorBidi" w:hAnsiTheme="majorBidi" w:cstheme="majorBidi"/>
          <w:sz w:val="24"/>
          <w:szCs w:val="24"/>
        </w:rPr>
        <w:t>.</w:t>
      </w:r>
      <w:r w:rsidR="00343408" w:rsidRPr="00C71AD6">
        <w:rPr>
          <w:rStyle w:val="PageNumber"/>
          <w:rFonts w:asciiTheme="majorBidi" w:hAnsiTheme="majorBidi" w:cstheme="majorBidi"/>
          <w:sz w:val="24"/>
          <w:szCs w:val="24"/>
        </w:rPr>
        <w:t xml:space="preserve"> </w:t>
      </w:r>
      <w:r w:rsidRPr="00C71AD6">
        <w:rPr>
          <w:rStyle w:val="PageNumber"/>
          <w:rFonts w:asciiTheme="majorBidi" w:hAnsiTheme="majorBidi" w:cstheme="majorBidi"/>
          <w:sz w:val="24"/>
          <w:szCs w:val="24"/>
        </w:rPr>
        <w:t xml:space="preserve">The oxidative metabolism of TCE occurs primarily in the liver, although it may also occur in other tissues, particularly the kidney and the lung. There are two main pathways responsible for TCE metabolism: oxidation by </w:t>
      </w:r>
      <w:proofErr w:type="spellStart"/>
      <w:r w:rsidRPr="00C71AD6">
        <w:rPr>
          <w:rStyle w:val="PageNumber"/>
          <w:rFonts w:asciiTheme="majorBidi" w:hAnsiTheme="majorBidi" w:cstheme="majorBidi"/>
          <w:sz w:val="24"/>
          <w:szCs w:val="24"/>
        </w:rPr>
        <w:t>cytochrome</w:t>
      </w:r>
      <w:proofErr w:type="spellEnd"/>
      <w:r w:rsidRPr="00C71AD6">
        <w:rPr>
          <w:rStyle w:val="PageNumber"/>
          <w:rFonts w:asciiTheme="majorBidi" w:hAnsiTheme="majorBidi" w:cstheme="majorBidi"/>
          <w:sz w:val="24"/>
          <w:szCs w:val="24"/>
        </w:rPr>
        <w:t xml:space="preserve"> P-450 and conjugation with glutathione (GSH) by glutathione-S-</w:t>
      </w:r>
      <w:proofErr w:type="spellStart"/>
      <w:r w:rsidRPr="00C71AD6">
        <w:rPr>
          <w:rStyle w:val="PageNumber"/>
          <w:rFonts w:asciiTheme="majorBidi" w:hAnsiTheme="majorBidi" w:cstheme="majorBidi"/>
          <w:sz w:val="24"/>
          <w:szCs w:val="24"/>
        </w:rPr>
        <w:t>transferases</w:t>
      </w:r>
      <w:proofErr w:type="spellEnd"/>
      <w:r w:rsidRPr="00C71AD6">
        <w:rPr>
          <w:rStyle w:val="PageNumber"/>
          <w:rFonts w:asciiTheme="majorBidi" w:hAnsiTheme="majorBidi" w:cstheme="majorBidi"/>
          <w:sz w:val="24"/>
          <w:szCs w:val="24"/>
        </w:rPr>
        <w:t xml:space="preserve"> (GSTs) </w:t>
      </w:r>
      <w:r w:rsidRPr="00765E09">
        <w:rPr>
          <w:rStyle w:val="PageNumber"/>
          <w:rFonts w:asciiTheme="majorBidi" w:hAnsiTheme="majorBidi" w:cstheme="majorBidi"/>
          <w:b/>
          <w:bCs/>
          <w:sz w:val="24"/>
          <w:szCs w:val="24"/>
        </w:rPr>
        <w:t>(OEHHA, 1999; Lash et al., 2000)</w:t>
      </w:r>
      <w:r w:rsidRPr="00C71AD6">
        <w:rPr>
          <w:rStyle w:val="PageNumber"/>
          <w:rFonts w:asciiTheme="majorBidi" w:hAnsiTheme="majorBidi" w:cstheme="majorBidi"/>
          <w:sz w:val="24"/>
          <w:szCs w:val="24"/>
        </w:rPr>
        <w:t xml:space="preserve">. In the liver, TCE is metabolized to an </w:t>
      </w:r>
      <w:proofErr w:type="spellStart"/>
      <w:r w:rsidRPr="00C71AD6">
        <w:rPr>
          <w:rStyle w:val="PageNumber"/>
          <w:rFonts w:asciiTheme="majorBidi" w:hAnsiTheme="majorBidi" w:cstheme="majorBidi"/>
          <w:sz w:val="24"/>
          <w:szCs w:val="24"/>
        </w:rPr>
        <w:t>electrophilic</w:t>
      </w:r>
      <w:proofErr w:type="spellEnd"/>
      <w:r w:rsidRPr="00C71AD6">
        <w:rPr>
          <w:rStyle w:val="PageNumber"/>
          <w:rFonts w:asciiTheme="majorBidi" w:hAnsiTheme="majorBidi" w:cstheme="majorBidi"/>
          <w:sz w:val="24"/>
          <w:szCs w:val="24"/>
        </w:rPr>
        <w:t xml:space="preserve"> </w:t>
      </w:r>
      <w:proofErr w:type="spellStart"/>
      <w:r w:rsidRPr="00C71AD6">
        <w:rPr>
          <w:rStyle w:val="PageNumber"/>
          <w:rFonts w:asciiTheme="majorBidi" w:hAnsiTheme="majorBidi" w:cstheme="majorBidi"/>
          <w:sz w:val="24"/>
          <w:szCs w:val="24"/>
        </w:rPr>
        <w:t>epoxide</w:t>
      </w:r>
      <w:proofErr w:type="spellEnd"/>
      <w:r w:rsidRPr="00C71AD6">
        <w:rPr>
          <w:rStyle w:val="PageNumber"/>
          <w:rFonts w:asciiTheme="majorBidi" w:hAnsiTheme="majorBidi" w:cstheme="majorBidi"/>
          <w:sz w:val="24"/>
          <w:szCs w:val="24"/>
        </w:rPr>
        <w:t xml:space="preserve"> intermediate, which spontaneously rearranges to chloral. Chloral is further metabolized to </w:t>
      </w:r>
      <w:proofErr w:type="spellStart"/>
      <w:r w:rsidRPr="00C71AD6">
        <w:rPr>
          <w:rStyle w:val="PageNumber"/>
          <w:rFonts w:asciiTheme="majorBidi" w:hAnsiTheme="majorBidi" w:cstheme="majorBidi"/>
          <w:sz w:val="24"/>
          <w:szCs w:val="24"/>
        </w:rPr>
        <w:t>trichloroethanol</w:t>
      </w:r>
      <w:proofErr w:type="spellEnd"/>
      <w:r w:rsidRPr="00C71AD6">
        <w:rPr>
          <w:rStyle w:val="PageNumber"/>
          <w:rFonts w:asciiTheme="majorBidi" w:hAnsiTheme="majorBidi" w:cstheme="majorBidi"/>
          <w:sz w:val="24"/>
          <w:szCs w:val="24"/>
        </w:rPr>
        <w:t xml:space="preserve"> (TCOH), </w:t>
      </w:r>
      <w:proofErr w:type="spellStart"/>
      <w:r w:rsidRPr="00C71AD6">
        <w:rPr>
          <w:rStyle w:val="PageNumber"/>
          <w:rFonts w:asciiTheme="majorBidi" w:hAnsiTheme="majorBidi" w:cstheme="majorBidi"/>
          <w:sz w:val="24"/>
          <w:szCs w:val="24"/>
        </w:rPr>
        <w:t>trichloroethanol</w:t>
      </w:r>
      <w:proofErr w:type="spellEnd"/>
      <w:r w:rsidRPr="00C71AD6">
        <w:rPr>
          <w:rStyle w:val="PageNumber"/>
          <w:rFonts w:asciiTheme="majorBidi" w:hAnsiTheme="majorBidi" w:cstheme="majorBidi"/>
          <w:sz w:val="24"/>
          <w:szCs w:val="24"/>
        </w:rPr>
        <w:t xml:space="preserve"> </w:t>
      </w:r>
      <w:proofErr w:type="spellStart"/>
      <w:r w:rsidRPr="00C71AD6">
        <w:rPr>
          <w:rStyle w:val="PageNumber"/>
          <w:rFonts w:asciiTheme="majorBidi" w:hAnsiTheme="majorBidi" w:cstheme="majorBidi"/>
          <w:sz w:val="24"/>
          <w:szCs w:val="24"/>
        </w:rPr>
        <w:t>glucuronide</w:t>
      </w:r>
      <w:proofErr w:type="spellEnd"/>
      <w:r w:rsidRPr="00C71AD6">
        <w:rPr>
          <w:rStyle w:val="PageNumber"/>
          <w:rFonts w:asciiTheme="majorBidi" w:hAnsiTheme="majorBidi" w:cstheme="majorBidi"/>
          <w:sz w:val="24"/>
          <w:szCs w:val="24"/>
        </w:rPr>
        <w:t xml:space="preserve"> (TCOG) and </w:t>
      </w:r>
      <w:proofErr w:type="spellStart"/>
      <w:r w:rsidRPr="00C71AD6">
        <w:rPr>
          <w:rStyle w:val="PageNumber"/>
          <w:rFonts w:asciiTheme="majorBidi" w:hAnsiTheme="majorBidi" w:cstheme="majorBidi"/>
          <w:sz w:val="24"/>
          <w:szCs w:val="24"/>
        </w:rPr>
        <w:t>trichloroacetic</w:t>
      </w:r>
      <w:proofErr w:type="spellEnd"/>
      <w:r w:rsidRPr="00C71AD6">
        <w:rPr>
          <w:rStyle w:val="PageNumber"/>
          <w:rFonts w:asciiTheme="majorBidi" w:hAnsiTheme="majorBidi" w:cstheme="majorBidi"/>
          <w:sz w:val="24"/>
          <w:szCs w:val="24"/>
        </w:rPr>
        <w:t xml:space="preserve"> acid (TCA). Other metabolites were mentioned including carbon dioxide, N-(</w:t>
      </w:r>
      <w:proofErr w:type="spellStart"/>
      <w:r w:rsidRPr="00C71AD6">
        <w:rPr>
          <w:rStyle w:val="PageNumber"/>
          <w:rFonts w:asciiTheme="majorBidi" w:hAnsiTheme="majorBidi" w:cstheme="majorBidi"/>
          <w:sz w:val="24"/>
          <w:szCs w:val="24"/>
        </w:rPr>
        <w:t>hydroxyacetyl</w:t>
      </w:r>
      <w:proofErr w:type="spellEnd"/>
      <w:r w:rsidRPr="00C71AD6">
        <w:rPr>
          <w:rStyle w:val="PageNumber"/>
          <w:rFonts w:asciiTheme="majorBidi" w:hAnsiTheme="majorBidi" w:cstheme="majorBidi"/>
          <w:sz w:val="24"/>
          <w:szCs w:val="24"/>
        </w:rPr>
        <w:t xml:space="preserve">) </w:t>
      </w:r>
      <w:proofErr w:type="spellStart"/>
      <w:r w:rsidRPr="00C71AD6">
        <w:rPr>
          <w:rStyle w:val="PageNumber"/>
          <w:rFonts w:asciiTheme="majorBidi" w:hAnsiTheme="majorBidi" w:cstheme="majorBidi"/>
          <w:sz w:val="24"/>
          <w:szCs w:val="24"/>
        </w:rPr>
        <w:t>aminoethanol</w:t>
      </w:r>
      <w:proofErr w:type="spellEnd"/>
      <w:r w:rsidRPr="00C71AD6">
        <w:rPr>
          <w:rStyle w:val="PageNumber"/>
          <w:rFonts w:asciiTheme="majorBidi" w:hAnsiTheme="majorBidi" w:cstheme="majorBidi"/>
          <w:sz w:val="24"/>
          <w:szCs w:val="24"/>
        </w:rPr>
        <w:t xml:space="preserve"> and oxalic acid </w:t>
      </w:r>
      <w:r w:rsidRPr="00765E09">
        <w:rPr>
          <w:rStyle w:val="PageNumber"/>
          <w:rFonts w:asciiTheme="majorBidi" w:hAnsiTheme="majorBidi" w:cstheme="majorBidi"/>
          <w:b/>
          <w:bCs/>
          <w:sz w:val="24"/>
          <w:szCs w:val="24"/>
        </w:rPr>
        <w:t>(</w:t>
      </w:r>
      <w:proofErr w:type="spellStart"/>
      <w:r w:rsidRPr="00765E09">
        <w:rPr>
          <w:rStyle w:val="PageNumber"/>
          <w:rFonts w:asciiTheme="majorBidi" w:hAnsiTheme="majorBidi" w:cstheme="majorBidi"/>
          <w:b/>
          <w:bCs/>
          <w:sz w:val="24"/>
          <w:szCs w:val="24"/>
        </w:rPr>
        <w:t>Goeptar</w:t>
      </w:r>
      <w:proofErr w:type="spellEnd"/>
      <w:r w:rsidRPr="00765E09">
        <w:rPr>
          <w:rStyle w:val="PageNumber"/>
          <w:rFonts w:asciiTheme="majorBidi" w:hAnsiTheme="majorBidi" w:cstheme="majorBidi"/>
          <w:b/>
          <w:bCs/>
          <w:sz w:val="24"/>
          <w:szCs w:val="24"/>
        </w:rPr>
        <w:t xml:space="preserve"> et al., 1995)</w:t>
      </w:r>
      <w:r w:rsidRPr="00C71AD6">
        <w:rPr>
          <w:rStyle w:val="PageNumber"/>
          <w:rFonts w:asciiTheme="majorBidi" w:hAnsiTheme="majorBidi" w:cstheme="majorBidi"/>
          <w:sz w:val="24"/>
          <w:szCs w:val="24"/>
        </w:rPr>
        <w:t xml:space="preserve">. </w:t>
      </w:r>
    </w:p>
    <w:p w:rsidR="006705D1" w:rsidRPr="00C71AD6" w:rsidRDefault="00B14BC7" w:rsidP="005E3D90">
      <w:pPr>
        <w:bidi w:val="0"/>
        <w:spacing w:after="0" w:line="360" w:lineRule="auto"/>
        <w:ind w:left="-74"/>
        <w:jc w:val="both"/>
        <w:rPr>
          <w:rStyle w:val="PageNumber"/>
          <w:rFonts w:asciiTheme="majorBidi" w:hAnsiTheme="majorBidi" w:cstheme="majorBidi"/>
          <w:b/>
          <w:bCs/>
          <w:sz w:val="24"/>
          <w:szCs w:val="24"/>
        </w:rPr>
      </w:pPr>
      <w:r w:rsidRPr="00C71AD6">
        <w:rPr>
          <w:rStyle w:val="PageNumber"/>
          <w:rFonts w:asciiTheme="majorBidi" w:hAnsiTheme="majorBidi" w:cstheme="majorBidi"/>
          <w:sz w:val="24"/>
          <w:szCs w:val="24"/>
        </w:rPr>
        <w:t xml:space="preserve">    </w:t>
      </w:r>
      <w:r w:rsidR="00240DC7" w:rsidRPr="00C71AD6">
        <w:rPr>
          <w:rStyle w:val="PageNumber"/>
          <w:rFonts w:asciiTheme="majorBidi" w:hAnsiTheme="majorBidi" w:cstheme="majorBidi"/>
          <w:sz w:val="24"/>
          <w:szCs w:val="24"/>
        </w:rPr>
        <w:t>2.</w:t>
      </w:r>
      <w:r w:rsidRPr="00C71AD6">
        <w:rPr>
          <w:rStyle w:val="PageNumber"/>
          <w:rFonts w:asciiTheme="majorBidi" w:hAnsiTheme="majorBidi" w:cstheme="majorBidi"/>
          <w:sz w:val="24"/>
          <w:szCs w:val="24"/>
        </w:rPr>
        <w:t xml:space="preserve"> </w:t>
      </w:r>
      <w:r w:rsidR="006705D1" w:rsidRPr="00C71AD6">
        <w:rPr>
          <w:rStyle w:val="PageNumber"/>
          <w:rFonts w:asciiTheme="majorBidi" w:hAnsiTheme="majorBidi" w:cstheme="majorBidi"/>
          <w:b/>
          <w:bCs/>
          <w:sz w:val="24"/>
          <w:szCs w:val="24"/>
        </w:rPr>
        <w:t>Materials and methods</w:t>
      </w:r>
    </w:p>
    <w:p w:rsidR="00561133" w:rsidRPr="00C71AD6" w:rsidRDefault="00561133" w:rsidP="005E3D90">
      <w:pPr>
        <w:pStyle w:val="ListParagraph"/>
        <w:numPr>
          <w:ilvl w:val="1"/>
          <w:numId w:val="2"/>
        </w:numPr>
        <w:bidi w:val="0"/>
        <w:spacing w:after="0" w:line="360" w:lineRule="auto"/>
        <w:jc w:val="both"/>
        <w:rPr>
          <w:rStyle w:val="PageNumber"/>
          <w:rFonts w:asciiTheme="majorBidi" w:hAnsiTheme="majorBidi" w:cstheme="majorBidi"/>
          <w:i/>
          <w:iCs/>
          <w:sz w:val="24"/>
          <w:szCs w:val="24"/>
        </w:rPr>
      </w:pPr>
      <w:r w:rsidRPr="00C71AD6">
        <w:rPr>
          <w:rStyle w:val="PageNumber"/>
          <w:rFonts w:asciiTheme="majorBidi" w:hAnsiTheme="majorBidi" w:cstheme="majorBidi"/>
          <w:b/>
          <w:bCs/>
          <w:i/>
          <w:iCs/>
          <w:sz w:val="24"/>
          <w:szCs w:val="24"/>
        </w:rPr>
        <w:t>Animals</w:t>
      </w:r>
    </w:p>
    <w:p w:rsidR="0017076E" w:rsidRPr="00C71AD6" w:rsidRDefault="00F250A3" w:rsidP="005E3D90">
      <w:pPr>
        <w:bidi w:val="0"/>
        <w:spacing w:after="0" w:line="360" w:lineRule="auto"/>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     </w:t>
      </w:r>
      <w:r w:rsidR="00240DC7" w:rsidRPr="00C71AD6">
        <w:rPr>
          <w:rStyle w:val="PageNumber"/>
          <w:rFonts w:asciiTheme="majorBidi" w:hAnsiTheme="majorBidi" w:cstheme="majorBidi"/>
          <w:sz w:val="24"/>
          <w:szCs w:val="24"/>
        </w:rPr>
        <w:t>Ninety virgin female and thirty</w:t>
      </w:r>
      <w:r w:rsidR="00561133" w:rsidRPr="00C71AD6">
        <w:rPr>
          <w:rStyle w:val="PageNumber"/>
          <w:rFonts w:asciiTheme="majorBidi" w:hAnsiTheme="majorBidi" w:cstheme="majorBidi"/>
          <w:sz w:val="24"/>
          <w:szCs w:val="24"/>
        </w:rPr>
        <w:t xml:space="preserve"> fertile male albino mice weighing approximately 2</w:t>
      </w:r>
      <w:r w:rsidR="00240DC7" w:rsidRPr="00C71AD6">
        <w:rPr>
          <w:rStyle w:val="PageNumber"/>
          <w:rFonts w:asciiTheme="majorBidi" w:hAnsiTheme="majorBidi" w:cstheme="majorBidi"/>
          <w:sz w:val="24"/>
          <w:szCs w:val="24"/>
        </w:rPr>
        <w:t>3</w:t>
      </w:r>
      <w:r w:rsidR="00561133" w:rsidRPr="00C71AD6">
        <w:rPr>
          <w:rStyle w:val="PageNumber"/>
          <w:rFonts w:asciiTheme="majorBidi" w:hAnsiTheme="majorBidi" w:cstheme="majorBidi"/>
          <w:sz w:val="24"/>
          <w:szCs w:val="24"/>
        </w:rPr>
        <w:t>-</w:t>
      </w:r>
      <w:r w:rsidR="00240DC7" w:rsidRPr="00C71AD6">
        <w:rPr>
          <w:rStyle w:val="PageNumber"/>
          <w:rFonts w:asciiTheme="majorBidi" w:hAnsiTheme="majorBidi" w:cstheme="majorBidi"/>
          <w:sz w:val="24"/>
          <w:szCs w:val="24"/>
        </w:rPr>
        <w:t>25</w:t>
      </w:r>
      <w:r w:rsidR="00561133" w:rsidRPr="00C71AD6">
        <w:rPr>
          <w:rStyle w:val="PageNumber"/>
          <w:rFonts w:asciiTheme="majorBidi" w:hAnsiTheme="majorBidi" w:cstheme="majorBidi"/>
          <w:sz w:val="24"/>
          <w:szCs w:val="24"/>
        </w:rPr>
        <w:t xml:space="preserve"> gm were used for experimentation. The animals were arranged into three groups, each was composed of </w:t>
      </w:r>
      <w:r w:rsidR="00240DC7" w:rsidRPr="00C71AD6">
        <w:rPr>
          <w:rStyle w:val="PageNumber"/>
          <w:rFonts w:asciiTheme="majorBidi" w:hAnsiTheme="majorBidi" w:cstheme="majorBidi"/>
          <w:sz w:val="24"/>
          <w:szCs w:val="24"/>
        </w:rPr>
        <w:t>30</w:t>
      </w:r>
      <w:r w:rsidR="00561133" w:rsidRPr="00C71AD6">
        <w:rPr>
          <w:rStyle w:val="PageNumber"/>
          <w:rFonts w:asciiTheme="majorBidi" w:hAnsiTheme="majorBidi" w:cstheme="majorBidi"/>
          <w:sz w:val="24"/>
          <w:szCs w:val="24"/>
        </w:rPr>
        <w:t xml:space="preserve"> females as follows:</w:t>
      </w:r>
      <w:r w:rsidRPr="00C71AD6">
        <w:rPr>
          <w:rStyle w:val="PageNumber"/>
          <w:rFonts w:asciiTheme="majorBidi" w:hAnsiTheme="majorBidi" w:cstheme="majorBidi"/>
          <w:sz w:val="24"/>
          <w:szCs w:val="24"/>
        </w:rPr>
        <w:t xml:space="preserve"> The first group (A), in which the animals were treated under the same condition with the dose solvent (corn oil). The second group (B) and the third group (C) </w:t>
      </w:r>
      <w:r w:rsidR="00F27177">
        <w:rPr>
          <w:rStyle w:val="PageNumber"/>
          <w:rFonts w:asciiTheme="majorBidi" w:hAnsiTheme="majorBidi" w:cstheme="majorBidi"/>
          <w:sz w:val="24"/>
          <w:szCs w:val="24"/>
        </w:rPr>
        <w:t xml:space="preserve">in which </w:t>
      </w:r>
      <w:r w:rsidRPr="00C71AD6">
        <w:rPr>
          <w:rStyle w:val="PageNumber"/>
          <w:rFonts w:asciiTheme="majorBidi" w:hAnsiTheme="majorBidi" w:cstheme="majorBidi"/>
          <w:sz w:val="24"/>
          <w:szCs w:val="24"/>
        </w:rPr>
        <w:t xml:space="preserve">females were treated </w:t>
      </w:r>
      <w:r w:rsidR="00240DC7" w:rsidRPr="00C71AD6">
        <w:rPr>
          <w:rStyle w:val="PageNumber"/>
          <w:rFonts w:asciiTheme="majorBidi" w:hAnsiTheme="majorBidi" w:cstheme="majorBidi"/>
          <w:sz w:val="24"/>
          <w:szCs w:val="24"/>
        </w:rPr>
        <w:t xml:space="preserve">orally </w:t>
      </w:r>
      <w:r w:rsidRPr="00C71AD6">
        <w:rPr>
          <w:rStyle w:val="PageNumber"/>
          <w:rFonts w:asciiTheme="majorBidi" w:hAnsiTheme="majorBidi" w:cstheme="majorBidi"/>
          <w:sz w:val="24"/>
          <w:szCs w:val="24"/>
        </w:rPr>
        <w:t>for three weeks</w:t>
      </w:r>
      <w:r w:rsidR="00240DC7" w:rsidRPr="00C71AD6">
        <w:rPr>
          <w:rStyle w:val="PageNumber"/>
          <w:rFonts w:asciiTheme="majorBidi" w:hAnsiTheme="majorBidi" w:cstheme="majorBidi"/>
          <w:sz w:val="24"/>
          <w:szCs w:val="24"/>
        </w:rPr>
        <w:t xml:space="preserve"> (daily) </w:t>
      </w:r>
      <w:r w:rsidRPr="00C71AD6">
        <w:rPr>
          <w:rStyle w:val="PageNumber"/>
          <w:rFonts w:asciiTheme="majorBidi" w:hAnsiTheme="majorBidi" w:cstheme="majorBidi"/>
          <w:sz w:val="24"/>
          <w:szCs w:val="24"/>
        </w:rPr>
        <w:t>with 24 mg/kg and 240 mg/kg body weight of TCE, respectively.</w:t>
      </w:r>
      <w:r w:rsidR="00F27177">
        <w:rPr>
          <w:rStyle w:val="PageNumber"/>
          <w:rFonts w:asciiTheme="majorBidi" w:hAnsiTheme="majorBidi" w:cstheme="majorBidi"/>
          <w:sz w:val="24"/>
          <w:szCs w:val="24"/>
        </w:rPr>
        <w:t xml:space="preserve"> The treated females allowed </w:t>
      </w:r>
      <w:r w:rsidR="00574CC5">
        <w:rPr>
          <w:rStyle w:val="PageNumber"/>
          <w:rFonts w:asciiTheme="majorBidi" w:hAnsiTheme="majorBidi" w:cstheme="majorBidi"/>
          <w:sz w:val="24"/>
          <w:szCs w:val="24"/>
        </w:rPr>
        <w:t>mating</w:t>
      </w:r>
      <w:r w:rsidR="00F27177">
        <w:rPr>
          <w:rStyle w:val="PageNumber"/>
          <w:rFonts w:asciiTheme="majorBidi" w:hAnsiTheme="majorBidi" w:cstheme="majorBidi"/>
          <w:sz w:val="24"/>
          <w:szCs w:val="24"/>
        </w:rPr>
        <w:t xml:space="preserve"> with normal male, </w:t>
      </w:r>
      <w:r w:rsidR="00574CC5">
        <w:rPr>
          <w:rStyle w:val="PageNumber"/>
          <w:rFonts w:asciiTheme="majorBidi" w:hAnsiTheme="majorBidi" w:cstheme="majorBidi"/>
          <w:sz w:val="24"/>
          <w:szCs w:val="24"/>
        </w:rPr>
        <w:t>and then</w:t>
      </w:r>
      <w:r w:rsidR="00F27177">
        <w:rPr>
          <w:rStyle w:val="PageNumber"/>
          <w:rFonts w:asciiTheme="majorBidi" w:hAnsiTheme="majorBidi" w:cstheme="majorBidi"/>
          <w:sz w:val="24"/>
          <w:szCs w:val="24"/>
        </w:rPr>
        <w:t xml:space="preserve"> the pregnant females received TCE for 5</w:t>
      </w:r>
      <w:r w:rsidR="00F27177" w:rsidRPr="00F27177">
        <w:rPr>
          <w:rStyle w:val="PageNumber"/>
          <w:rFonts w:asciiTheme="majorBidi" w:hAnsiTheme="majorBidi" w:cstheme="majorBidi"/>
          <w:sz w:val="24"/>
          <w:szCs w:val="24"/>
          <w:vertAlign w:val="superscript"/>
        </w:rPr>
        <w:t>th</w:t>
      </w:r>
      <w:r w:rsidR="00F27177">
        <w:rPr>
          <w:rStyle w:val="PageNumber"/>
          <w:rFonts w:asciiTheme="majorBidi" w:hAnsiTheme="majorBidi" w:cstheme="majorBidi"/>
          <w:sz w:val="24"/>
          <w:szCs w:val="24"/>
        </w:rPr>
        <w:t xml:space="preserve"> and 7</w:t>
      </w:r>
      <w:r w:rsidR="00F27177" w:rsidRPr="00F27177">
        <w:rPr>
          <w:rStyle w:val="PageNumber"/>
          <w:rFonts w:asciiTheme="majorBidi" w:hAnsiTheme="majorBidi" w:cstheme="majorBidi"/>
          <w:sz w:val="24"/>
          <w:szCs w:val="24"/>
          <w:vertAlign w:val="superscript"/>
        </w:rPr>
        <w:t>th</w:t>
      </w:r>
      <w:r w:rsidR="00F27177">
        <w:rPr>
          <w:rStyle w:val="PageNumber"/>
          <w:rFonts w:asciiTheme="majorBidi" w:hAnsiTheme="majorBidi" w:cstheme="majorBidi"/>
          <w:sz w:val="24"/>
          <w:szCs w:val="24"/>
        </w:rPr>
        <w:t xml:space="preserve"> day of gestation.</w:t>
      </w:r>
    </w:p>
    <w:p w:rsidR="0017076E" w:rsidRPr="00C71AD6" w:rsidRDefault="0017076E" w:rsidP="005E3D90">
      <w:pPr>
        <w:pStyle w:val="ListParagraph"/>
        <w:numPr>
          <w:ilvl w:val="1"/>
          <w:numId w:val="2"/>
        </w:numPr>
        <w:bidi w:val="0"/>
        <w:spacing w:after="0" w:line="360" w:lineRule="auto"/>
        <w:jc w:val="both"/>
        <w:rPr>
          <w:rStyle w:val="PageNumber"/>
          <w:rFonts w:asciiTheme="majorBidi" w:hAnsiTheme="majorBidi" w:cstheme="majorBidi"/>
          <w:b/>
          <w:bCs/>
          <w:i/>
          <w:iCs/>
          <w:sz w:val="24"/>
          <w:szCs w:val="24"/>
        </w:rPr>
      </w:pPr>
      <w:r w:rsidRPr="00C71AD6">
        <w:rPr>
          <w:rStyle w:val="PageNumber"/>
          <w:rFonts w:asciiTheme="majorBidi" w:hAnsiTheme="majorBidi" w:cstheme="majorBidi"/>
          <w:b/>
          <w:bCs/>
          <w:i/>
          <w:iCs/>
          <w:sz w:val="24"/>
          <w:szCs w:val="24"/>
        </w:rPr>
        <w:t>Mating procedures</w:t>
      </w:r>
    </w:p>
    <w:p w:rsidR="0017076E" w:rsidRPr="00C71AD6" w:rsidRDefault="0017076E" w:rsidP="005E3D90">
      <w:pPr>
        <w:bidi w:val="0"/>
        <w:spacing w:after="0" w:line="360" w:lineRule="auto"/>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     The females which were found at the pro-</w:t>
      </w:r>
      <w:proofErr w:type="spellStart"/>
      <w:r w:rsidRPr="00C71AD6">
        <w:rPr>
          <w:rStyle w:val="PageNumber"/>
          <w:rFonts w:asciiTheme="majorBidi" w:hAnsiTheme="majorBidi" w:cstheme="majorBidi"/>
          <w:sz w:val="24"/>
          <w:szCs w:val="24"/>
        </w:rPr>
        <w:t>oestrus</w:t>
      </w:r>
      <w:proofErr w:type="spellEnd"/>
      <w:r w:rsidRPr="00C71AD6">
        <w:rPr>
          <w:rStyle w:val="PageNumber"/>
          <w:rFonts w:asciiTheme="majorBidi" w:hAnsiTheme="majorBidi" w:cstheme="majorBidi"/>
          <w:sz w:val="24"/>
          <w:szCs w:val="24"/>
        </w:rPr>
        <w:t xml:space="preserve"> stage were selected, each </w:t>
      </w:r>
      <w:r w:rsidR="00240DC7" w:rsidRPr="00C71AD6">
        <w:rPr>
          <w:rStyle w:val="PageNumber"/>
          <w:rFonts w:asciiTheme="majorBidi" w:hAnsiTheme="majorBidi" w:cstheme="majorBidi"/>
          <w:sz w:val="24"/>
          <w:szCs w:val="24"/>
        </w:rPr>
        <w:t>three</w:t>
      </w:r>
      <w:r w:rsidRPr="00C71AD6">
        <w:rPr>
          <w:rStyle w:val="PageNumber"/>
          <w:rFonts w:asciiTheme="majorBidi" w:hAnsiTheme="majorBidi" w:cstheme="majorBidi"/>
          <w:sz w:val="24"/>
          <w:szCs w:val="24"/>
        </w:rPr>
        <w:t xml:space="preserve"> of them were kept with one adult male in one cage overnight. Occurrence of copulation was established in the next morning at 9.00 a.m. by the presence of the vaginal plug and/or the presence of the sperms in the vaginal smear, and this day was considered to be the first day of pregnancy, assuming coitus took place at 1.0 a.m. on the night of mating </w:t>
      </w:r>
      <w:r w:rsidRPr="00C71AD6">
        <w:rPr>
          <w:rStyle w:val="PageNumber"/>
          <w:rFonts w:asciiTheme="majorBidi" w:hAnsiTheme="majorBidi" w:cstheme="majorBidi"/>
          <w:b/>
          <w:bCs/>
          <w:sz w:val="24"/>
          <w:szCs w:val="24"/>
        </w:rPr>
        <w:t xml:space="preserve">(Terada and </w:t>
      </w:r>
      <w:r w:rsidRPr="00C71AD6">
        <w:rPr>
          <w:rStyle w:val="PageNumber"/>
          <w:rFonts w:asciiTheme="majorBidi" w:hAnsiTheme="majorBidi" w:cstheme="majorBidi"/>
          <w:b/>
          <w:bCs/>
          <w:sz w:val="24"/>
          <w:szCs w:val="24"/>
        </w:rPr>
        <w:lastRenderedPageBreak/>
        <w:t>Nishimura, 1975)</w:t>
      </w:r>
      <w:r w:rsidRPr="00C71AD6">
        <w:rPr>
          <w:rStyle w:val="PageNumber"/>
          <w:rFonts w:asciiTheme="majorBidi" w:hAnsiTheme="majorBidi" w:cstheme="majorBidi"/>
          <w:sz w:val="24"/>
          <w:szCs w:val="24"/>
        </w:rPr>
        <w:t>.</w:t>
      </w:r>
      <w:r w:rsidR="009C7A9D" w:rsidRPr="00C71AD6">
        <w:rPr>
          <w:rStyle w:val="PageNumber"/>
          <w:rFonts w:asciiTheme="majorBidi" w:hAnsiTheme="majorBidi" w:cstheme="majorBidi"/>
          <w:sz w:val="24"/>
          <w:szCs w:val="24"/>
        </w:rPr>
        <w:t xml:space="preserve"> The treated pregnant females receive TCE until 5</w:t>
      </w:r>
      <w:r w:rsidR="009C7A9D" w:rsidRPr="00C71AD6">
        <w:rPr>
          <w:rStyle w:val="PageNumber"/>
          <w:rFonts w:asciiTheme="majorBidi" w:hAnsiTheme="majorBidi" w:cstheme="majorBidi"/>
          <w:sz w:val="24"/>
          <w:szCs w:val="24"/>
          <w:vertAlign w:val="superscript"/>
        </w:rPr>
        <w:t>th</w:t>
      </w:r>
      <w:r w:rsidR="009C7A9D" w:rsidRPr="00C71AD6">
        <w:rPr>
          <w:rStyle w:val="PageNumber"/>
          <w:rFonts w:asciiTheme="majorBidi" w:hAnsiTheme="majorBidi" w:cstheme="majorBidi"/>
          <w:sz w:val="24"/>
          <w:szCs w:val="24"/>
        </w:rPr>
        <w:t xml:space="preserve"> and 7</w:t>
      </w:r>
      <w:r w:rsidR="009C7A9D" w:rsidRPr="00C71AD6">
        <w:rPr>
          <w:rStyle w:val="PageNumber"/>
          <w:rFonts w:asciiTheme="majorBidi" w:hAnsiTheme="majorBidi" w:cstheme="majorBidi"/>
          <w:sz w:val="24"/>
          <w:szCs w:val="24"/>
          <w:vertAlign w:val="superscript"/>
        </w:rPr>
        <w:t>th</w:t>
      </w:r>
      <w:r w:rsidR="008A0503" w:rsidRPr="00C71AD6">
        <w:rPr>
          <w:rStyle w:val="PageNumber"/>
          <w:rFonts w:asciiTheme="majorBidi" w:hAnsiTheme="majorBidi" w:cstheme="majorBidi"/>
          <w:sz w:val="24"/>
          <w:szCs w:val="24"/>
        </w:rPr>
        <w:t xml:space="preserve"> day of gestation and sacrificed for the collection of the embryos (6</w:t>
      </w:r>
      <w:r w:rsidR="008A0503" w:rsidRPr="00C71AD6">
        <w:rPr>
          <w:rStyle w:val="PageNumber"/>
          <w:rFonts w:asciiTheme="majorBidi" w:hAnsiTheme="majorBidi" w:cstheme="majorBidi"/>
          <w:sz w:val="24"/>
          <w:szCs w:val="24"/>
          <w:vertAlign w:val="superscript"/>
        </w:rPr>
        <w:t>th</w:t>
      </w:r>
      <w:r w:rsidR="008A0503" w:rsidRPr="00C71AD6">
        <w:rPr>
          <w:rStyle w:val="PageNumber"/>
          <w:rFonts w:asciiTheme="majorBidi" w:hAnsiTheme="majorBidi" w:cstheme="majorBidi"/>
          <w:sz w:val="24"/>
          <w:szCs w:val="24"/>
        </w:rPr>
        <w:t xml:space="preserve"> and 8</w:t>
      </w:r>
      <w:r w:rsidR="008A0503" w:rsidRPr="00C71AD6">
        <w:rPr>
          <w:rStyle w:val="PageNumber"/>
          <w:rFonts w:asciiTheme="majorBidi" w:hAnsiTheme="majorBidi" w:cstheme="majorBidi"/>
          <w:sz w:val="24"/>
          <w:szCs w:val="24"/>
          <w:vertAlign w:val="superscript"/>
        </w:rPr>
        <w:t>th</w:t>
      </w:r>
      <w:r w:rsidR="008A0503" w:rsidRPr="00C71AD6">
        <w:rPr>
          <w:rStyle w:val="PageNumber"/>
          <w:rFonts w:asciiTheme="majorBidi" w:hAnsiTheme="majorBidi" w:cstheme="majorBidi"/>
          <w:sz w:val="24"/>
          <w:szCs w:val="24"/>
        </w:rPr>
        <w:t xml:space="preserve"> day</w:t>
      </w:r>
      <w:r w:rsidR="005E3D90">
        <w:rPr>
          <w:rStyle w:val="PageNumber"/>
          <w:rFonts w:asciiTheme="majorBidi" w:hAnsiTheme="majorBidi" w:cstheme="majorBidi"/>
          <w:sz w:val="24"/>
          <w:szCs w:val="24"/>
        </w:rPr>
        <w:t xml:space="preserve"> embryo</w:t>
      </w:r>
      <w:r w:rsidR="008A0503" w:rsidRPr="00C71AD6">
        <w:rPr>
          <w:rStyle w:val="PageNumber"/>
          <w:rFonts w:asciiTheme="majorBidi" w:hAnsiTheme="majorBidi" w:cstheme="majorBidi"/>
          <w:sz w:val="24"/>
          <w:szCs w:val="24"/>
        </w:rPr>
        <w:t xml:space="preserve">). </w:t>
      </w:r>
    </w:p>
    <w:p w:rsidR="00561133" w:rsidRPr="00C71AD6" w:rsidRDefault="00561133" w:rsidP="005E3D90">
      <w:pPr>
        <w:pStyle w:val="ListParagraph"/>
        <w:numPr>
          <w:ilvl w:val="1"/>
          <w:numId w:val="2"/>
        </w:numPr>
        <w:bidi w:val="0"/>
        <w:spacing w:after="0" w:line="360" w:lineRule="auto"/>
        <w:jc w:val="both"/>
        <w:rPr>
          <w:rStyle w:val="PageNumber"/>
          <w:rFonts w:asciiTheme="majorBidi" w:hAnsiTheme="majorBidi" w:cstheme="majorBidi"/>
          <w:b/>
          <w:bCs/>
          <w:i/>
          <w:iCs/>
          <w:sz w:val="24"/>
          <w:szCs w:val="24"/>
        </w:rPr>
      </w:pPr>
      <w:r w:rsidRPr="00C71AD6">
        <w:rPr>
          <w:rStyle w:val="PageNumber"/>
          <w:rFonts w:asciiTheme="majorBidi" w:hAnsiTheme="majorBidi" w:cstheme="majorBidi"/>
          <w:i/>
          <w:iCs/>
          <w:sz w:val="24"/>
          <w:szCs w:val="24"/>
        </w:rPr>
        <w:t xml:space="preserve">  </w:t>
      </w:r>
      <w:r w:rsidRPr="00C71AD6">
        <w:rPr>
          <w:rStyle w:val="PageNumber"/>
          <w:rFonts w:asciiTheme="majorBidi" w:hAnsiTheme="majorBidi" w:cstheme="majorBidi"/>
          <w:b/>
          <w:bCs/>
          <w:i/>
          <w:iCs/>
          <w:sz w:val="24"/>
          <w:szCs w:val="24"/>
        </w:rPr>
        <w:t>trichloroethylene</w:t>
      </w:r>
    </w:p>
    <w:p w:rsidR="00561133" w:rsidRPr="00C71AD6" w:rsidRDefault="00561133" w:rsidP="005E3D90">
      <w:pPr>
        <w:bidi w:val="0"/>
        <w:spacing w:after="0" w:line="360" w:lineRule="auto"/>
        <w:ind w:left="-74"/>
        <w:jc w:val="both"/>
        <w:rPr>
          <w:rStyle w:val="PageNumber"/>
          <w:rFonts w:asciiTheme="majorBidi" w:hAnsiTheme="majorBidi" w:cstheme="majorBidi"/>
          <w:sz w:val="24"/>
          <w:szCs w:val="24"/>
        </w:rPr>
      </w:pPr>
      <w:r w:rsidRPr="00C71AD6">
        <w:rPr>
          <w:rStyle w:val="PageNumber"/>
          <w:rFonts w:asciiTheme="majorBidi" w:hAnsiTheme="majorBidi" w:cstheme="majorBidi"/>
          <w:i/>
          <w:iCs/>
          <w:sz w:val="24"/>
          <w:szCs w:val="24"/>
        </w:rPr>
        <w:t xml:space="preserve">     </w:t>
      </w:r>
      <w:r w:rsidRPr="00C71AD6">
        <w:rPr>
          <w:rStyle w:val="PageNumber"/>
          <w:rFonts w:asciiTheme="majorBidi" w:hAnsiTheme="majorBidi" w:cstheme="majorBidi"/>
          <w:sz w:val="24"/>
          <w:szCs w:val="24"/>
        </w:rPr>
        <w:t xml:space="preserve"> Highest purity trichloroethylene (TCE) obtained from Sigma-Aldrich</w:t>
      </w:r>
      <w:r w:rsidR="00240DC7" w:rsidRPr="00C71AD6">
        <w:rPr>
          <w:rStyle w:val="PageNumber"/>
          <w:rFonts w:asciiTheme="majorBidi" w:hAnsiTheme="majorBidi" w:cstheme="majorBidi"/>
          <w:sz w:val="24"/>
          <w:szCs w:val="24"/>
        </w:rPr>
        <w:t xml:space="preserve"> company at Cairo</w:t>
      </w:r>
      <w:r w:rsidRPr="00C71AD6">
        <w:rPr>
          <w:rStyle w:val="PageNumber"/>
          <w:rFonts w:asciiTheme="majorBidi" w:hAnsiTheme="majorBidi" w:cstheme="majorBidi"/>
          <w:sz w:val="24"/>
          <w:szCs w:val="24"/>
        </w:rPr>
        <w:t xml:space="preserve"> was used in the present work. The used dose was based upon the 50% lethal dose (LD50) valu</w:t>
      </w:r>
      <w:r w:rsidR="00574CC5">
        <w:rPr>
          <w:rStyle w:val="PageNumber"/>
          <w:rFonts w:asciiTheme="majorBidi" w:hAnsiTheme="majorBidi" w:cstheme="majorBidi"/>
          <w:sz w:val="24"/>
          <w:szCs w:val="24"/>
        </w:rPr>
        <w:t>e of 2402 mg/kg body weight</w:t>
      </w:r>
      <w:r w:rsidRPr="00C71AD6">
        <w:rPr>
          <w:rStyle w:val="PageNumber"/>
          <w:rFonts w:asciiTheme="majorBidi" w:hAnsiTheme="majorBidi" w:cstheme="majorBidi"/>
          <w:sz w:val="24"/>
          <w:szCs w:val="24"/>
        </w:rPr>
        <w:t xml:space="preserve"> in mice taken from the Registry for Toxic Effects of Chemical Substances (</w:t>
      </w:r>
      <w:r w:rsidRPr="00C71AD6">
        <w:rPr>
          <w:rStyle w:val="PageNumber"/>
          <w:rFonts w:asciiTheme="majorBidi" w:hAnsiTheme="majorBidi" w:cstheme="majorBidi"/>
          <w:b/>
          <w:bCs/>
          <w:sz w:val="24"/>
          <w:szCs w:val="24"/>
        </w:rPr>
        <w:t>NIOSH, 1988 and Tucker et al.1982</w:t>
      </w:r>
      <w:r w:rsidRPr="00C71AD6">
        <w:rPr>
          <w:rStyle w:val="PageNumber"/>
          <w:rFonts w:asciiTheme="majorBidi" w:hAnsiTheme="majorBidi" w:cstheme="majorBidi"/>
          <w:sz w:val="24"/>
          <w:szCs w:val="24"/>
        </w:rPr>
        <w:t>). The two doses of TCE investigated in the prese</w:t>
      </w:r>
      <w:r w:rsidR="00574CC5">
        <w:rPr>
          <w:rStyle w:val="PageNumber"/>
          <w:rFonts w:asciiTheme="majorBidi" w:hAnsiTheme="majorBidi" w:cstheme="majorBidi"/>
          <w:sz w:val="24"/>
          <w:szCs w:val="24"/>
        </w:rPr>
        <w:t>nt study were 24 and 240 mg/kg</w:t>
      </w:r>
      <w:r w:rsidRPr="00C71AD6">
        <w:rPr>
          <w:rStyle w:val="PageNumber"/>
          <w:rFonts w:asciiTheme="majorBidi" w:hAnsiTheme="majorBidi" w:cstheme="majorBidi"/>
          <w:sz w:val="24"/>
          <w:szCs w:val="24"/>
        </w:rPr>
        <w:t xml:space="preserve"> (1/100</w:t>
      </w:r>
      <w:r w:rsidR="009C7A9D" w:rsidRPr="00C71AD6">
        <w:rPr>
          <w:rStyle w:val="PageNumber"/>
          <w:rFonts w:asciiTheme="majorBidi" w:hAnsiTheme="majorBidi" w:cstheme="majorBidi"/>
          <w:sz w:val="24"/>
          <w:szCs w:val="24"/>
        </w:rPr>
        <w:t xml:space="preserve"> as low dose</w:t>
      </w:r>
      <w:r w:rsidRPr="00C71AD6">
        <w:rPr>
          <w:rStyle w:val="PageNumber"/>
          <w:rFonts w:asciiTheme="majorBidi" w:hAnsiTheme="majorBidi" w:cstheme="majorBidi"/>
          <w:sz w:val="24"/>
          <w:szCs w:val="24"/>
        </w:rPr>
        <w:t xml:space="preserve"> and 1/10 of LD50</w:t>
      </w:r>
      <w:r w:rsidR="009C7A9D" w:rsidRPr="00C71AD6">
        <w:rPr>
          <w:rStyle w:val="PageNumber"/>
          <w:rFonts w:asciiTheme="majorBidi" w:hAnsiTheme="majorBidi" w:cstheme="majorBidi"/>
          <w:sz w:val="24"/>
          <w:szCs w:val="24"/>
        </w:rPr>
        <w:t xml:space="preserve"> as a high dose</w:t>
      </w:r>
      <w:r w:rsidRPr="00C71AD6">
        <w:rPr>
          <w:rStyle w:val="PageNumber"/>
          <w:rFonts w:asciiTheme="majorBidi" w:hAnsiTheme="majorBidi" w:cstheme="majorBidi"/>
          <w:sz w:val="24"/>
          <w:szCs w:val="24"/>
        </w:rPr>
        <w:t xml:space="preserve">, respectively) dissolved in corn oil. Control doses consist of corn oil only. The used doses were made </w:t>
      </w:r>
      <w:r w:rsidR="005E3D90">
        <w:rPr>
          <w:rStyle w:val="PageNumber"/>
          <w:rFonts w:asciiTheme="majorBidi" w:hAnsiTheme="majorBidi" w:cstheme="majorBidi"/>
          <w:sz w:val="24"/>
          <w:szCs w:val="24"/>
        </w:rPr>
        <w:t xml:space="preserve">up immediately preceding dosing and </w:t>
      </w:r>
      <w:r w:rsidR="005E3D90" w:rsidRPr="00C71AD6">
        <w:rPr>
          <w:rStyle w:val="PageNumber"/>
          <w:rFonts w:asciiTheme="majorBidi" w:hAnsiTheme="majorBidi" w:cstheme="majorBidi"/>
          <w:sz w:val="24"/>
          <w:szCs w:val="24"/>
        </w:rPr>
        <w:t>a volume of 0.2 ml was given per animal.</w:t>
      </w:r>
    </w:p>
    <w:p w:rsidR="00561133" w:rsidRPr="00C71AD6" w:rsidRDefault="00561133" w:rsidP="005E3D90">
      <w:pPr>
        <w:pStyle w:val="ListParagraph"/>
        <w:numPr>
          <w:ilvl w:val="1"/>
          <w:numId w:val="2"/>
        </w:numPr>
        <w:bidi w:val="0"/>
        <w:spacing w:after="0" w:line="360" w:lineRule="auto"/>
        <w:jc w:val="both"/>
        <w:rPr>
          <w:rStyle w:val="PageNumber"/>
          <w:rFonts w:asciiTheme="majorBidi" w:hAnsiTheme="majorBidi" w:cstheme="majorBidi"/>
          <w:sz w:val="24"/>
          <w:szCs w:val="24"/>
        </w:rPr>
      </w:pPr>
      <w:r w:rsidRPr="00C71AD6">
        <w:rPr>
          <w:rStyle w:val="PageNumber"/>
          <w:rFonts w:asciiTheme="majorBidi" w:hAnsiTheme="majorBidi" w:cstheme="majorBidi"/>
          <w:b/>
          <w:bCs/>
          <w:i/>
          <w:iCs/>
          <w:sz w:val="24"/>
          <w:szCs w:val="24"/>
        </w:rPr>
        <w:t xml:space="preserve"> Administration</w:t>
      </w:r>
    </w:p>
    <w:p w:rsidR="00561133" w:rsidRPr="00C71AD6" w:rsidRDefault="00561133" w:rsidP="005E3D90">
      <w:pPr>
        <w:bidi w:val="0"/>
        <w:spacing w:after="0" w:line="360" w:lineRule="auto"/>
        <w:ind w:left="-74"/>
        <w:jc w:val="both"/>
        <w:rPr>
          <w:rStyle w:val="PageNumber"/>
          <w:rFonts w:asciiTheme="majorBidi" w:hAnsiTheme="majorBidi" w:cstheme="majorBidi"/>
          <w:b/>
          <w:bCs/>
          <w:sz w:val="24"/>
          <w:szCs w:val="24"/>
        </w:rPr>
      </w:pPr>
      <w:r w:rsidRPr="00C71AD6">
        <w:rPr>
          <w:rStyle w:val="PageNumber"/>
          <w:rFonts w:asciiTheme="majorBidi" w:hAnsiTheme="majorBidi" w:cstheme="majorBidi"/>
          <w:sz w:val="24"/>
          <w:szCs w:val="24"/>
        </w:rPr>
        <w:t xml:space="preserve">Mice were administered TCE using an 18-gauge, 3.8 cm curved </w:t>
      </w:r>
      <w:proofErr w:type="spellStart"/>
      <w:r w:rsidRPr="00C71AD6">
        <w:rPr>
          <w:rStyle w:val="PageNumber"/>
          <w:rFonts w:asciiTheme="majorBidi" w:hAnsiTheme="majorBidi" w:cstheme="majorBidi"/>
          <w:sz w:val="24"/>
          <w:szCs w:val="24"/>
        </w:rPr>
        <w:t>gavage</w:t>
      </w:r>
      <w:proofErr w:type="spellEnd"/>
      <w:r w:rsidRPr="00C71AD6">
        <w:rPr>
          <w:rStyle w:val="PageNumber"/>
          <w:rFonts w:asciiTheme="majorBidi" w:hAnsiTheme="majorBidi" w:cstheme="majorBidi"/>
          <w:sz w:val="24"/>
          <w:szCs w:val="24"/>
        </w:rPr>
        <w:t xml:space="preserve"> needle attached to a graded glass syringe. Food was withheld from all animals for 4 hour</w:t>
      </w:r>
      <w:r w:rsidR="009C7A9D" w:rsidRPr="00C71AD6">
        <w:rPr>
          <w:rStyle w:val="PageNumber"/>
          <w:rFonts w:asciiTheme="majorBidi" w:hAnsiTheme="majorBidi" w:cstheme="majorBidi"/>
          <w:sz w:val="24"/>
          <w:szCs w:val="24"/>
        </w:rPr>
        <w:t>s prior to daily administration.</w:t>
      </w:r>
      <w:r w:rsidRPr="00C71AD6">
        <w:rPr>
          <w:rStyle w:val="PageNumber"/>
          <w:rFonts w:asciiTheme="majorBidi" w:hAnsiTheme="majorBidi" w:cstheme="majorBidi"/>
          <w:sz w:val="24"/>
          <w:szCs w:val="24"/>
        </w:rPr>
        <w:t xml:space="preserve"> </w:t>
      </w:r>
    </w:p>
    <w:p w:rsidR="0006216D" w:rsidRPr="00C71AD6" w:rsidRDefault="0006216D" w:rsidP="005E3D90">
      <w:pPr>
        <w:pStyle w:val="ListParagraph"/>
        <w:numPr>
          <w:ilvl w:val="1"/>
          <w:numId w:val="2"/>
        </w:numPr>
        <w:bidi w:val="0"/>
        <w:spacing w:after="0" w:line="360" w:lineRule="auto"/>
        <w:jc w:val="both"/>
        <w:rPr>
          <w:rStyle w:val="PageNumber"/>
          <w:rFonts w:asciiTheme="majorBidi" w:hAnsiTheme="majorBidi" w:cstheme="majorBidi"/>
          <w:b/>
          <w:bCs/>
          <w:i/>
          <w:iCs/>
          <w:sz w:val="24"/>
          <w:szCs w:val="24"/>
        </w:rPr>
      </w:pPr>
      <w:r w:rsidRPr="00C71AD6">
        <w:rPr>
          <w:rStyle w:val="PageNumber"/>
          <w:rFonts w:asciiTheme="majorBidi" w:hAnsiTheme="majorBidi" w:cstheme="majorBidi"/>
          <w:b/>
          <w:bCs/>
          <w:i/>
          <w:iCs/>
          <w:sz w:val="24"/>
          <w:szCs w:val="24"/>
        </w:rPr>
        <w:t xml:space="preserve"> </w:t>
      </w:r>
      <w:r w:rsidR="009C7A9D" w:rsidRPr="00C71AD6">
        <w:rPr>
          <w:rStyle w:val="PageNumber"/>
          <w:rFonts w:asciiTheme="majorBidi" w:hAnsiTheme="majorBidi" w:cstheme="majorBidi"/>
          <w:b/>
          <w:bCs/>
          <w:i/>
          <w:iCs/>
          <w:sz w:val="24"/>
          <w:szCs w:val="24"/>
        </w:rPr>
        <w:t>Embryos</w:t>
      </w:r>
      <w:r w:rsidRPr="00C71AD6">
        <w:rPr>
          <w:rStyle w:val="PageNumber"/>
          <w:rFonts w:asciiTheme="majorBidi" w:hAnsiTheme="majorBidi" w:cstheme="majorBidi"/>
          <w:b/>
          <w:bCs/>
          <w:i/>
          <w:iCs/>
          <w:sz w:val="24"/>
          <w:szCs w:val="24"/>
        </w:rPr>
        <w:t xml:space="preserve"> collection</w:t>
      </w:r>
    </w:p>
    <w:p w:rsidR="009C7A9D" w:rsidRPr="00C71AD6" w:rsidRDefault="009C7A9D" w:rsidP="00574CC5">
      <w:pPr>
        <w:bidi w:val="0"/>
        <w:spacing w:after="0" w:line="360" w:lineRule="auto"/>
        <w:ind w:left="360"/>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The treated pregnant females sacrificed at 6</w:t>
      </w:r>
      <w:r w:rsidRPr="00C71AD6">
        <w:rPr>
          <w:rStyle w:val="PageNumber"/>
          <w:rFonts w:asciiTheme="majorBidi" w:hAnsiTheme="majorBidi" w:cstheme="majorBidi"/>
          <w:sz w:val="24"/>
          <w:szCs w:val="24"/>
          <w:vertAlign w:val="superscript"/>
        </w:rPr>
        <w:t>th</w:t>
      </w:r>
      <w:r w:rsidRPr="00C71AD6">
        <w:rPr>
          <w:rStyle w:val="PageNumber"/>
          <w:rFonts w:asciiTheme="majorBidi" w:hAnsiTheme="majorBidi" w:cstheme="majorBidi"/>
          <w:sz w:val="24"/>
          <w:szCs w:val="24"/>
        </w:rPr>
        <w:t xml:space="preserve"> and 8</w:t>
      </w:r>
      <w:r w:rsidRPr="00C71AD6">
        <w:rPr>
          <w:rStyle w:val="PageNumber"/>
          <w:rFonts w:asciiTheme="majorBidi" w:hAnsiTheme="majorBidi" w:cstheme="majorBidi"/>
          <w:sz w:val="24"/>
          <w:szCs w:val="24"/>
          <w:vertAlign w:val="superscript"/>
        </w:rPr>
        <w:t>th</w:t>
      </w:r>
      <w:r w:rsidRPr="00C71AD6">
        <w:rPr>
          <w:rStyle w:val="PageNumber"/>
          <w:rFonts w:asciiTheme="majorBidi" w:hAnsiTheme="majorBidi" w:cstheme="majorBidi"/>
          <w:sz w:val="24"/>
          <w:szCs w:val="24"/>
        </w:rPr>
        <w:t xml:space="preserve"> day of gestation for extracting the whole uterus with 6 and 8 day mouse embryo, </w:t>
      </w:r>
      <w:r w:rsidR="00574CC5" w:rsidRPr="00C71AD6">
        <w:rPr>
          <w:rStyle w:val="PageNumber"/>
          <w:rFonts w:asciiTheme="majorBidi" w:hAnsiTheme="majorBidi" w:cstheme="majorBidi"/>
          <w:sz w:val="24"/>
          <w:szCs w:val="24"/>
        </w:rPr>
        <w:t>respectively. The</w:t>
      </w:r>
      <w:r w:rsidRPr="00C71AD6">
        <w:rPr>
          <w:rStyle w:val="PageNumber"/>
          <w:rFonts w:asciiTheme="majorBidi" w:hAnsiTheme="majorBidi" w:cstheme="majorBidi"/>
          <w:sz w:val="24"/>
          <w:szCs w:val="24"/>
        </w:rPr>
        <w:t xml:space="preserve"> uterus fixed in 10% neutral</w:t>
      </w:r>
      <w:r w:rsidR="004C6F43" w:rsidRPr="00C71AD6">
        <w:rPr>
          <w:rStyle w:val="PageNumber"/>
          <w:rFonts w:asciiTheme="majorBidi" w:hAnsiTheme="majorBidi" w:cstheme="majorBidi"/>
          <w:sz w:val="24"/>
          <w:szCs w:val="24"/>
        </w:rPr>
        <w:t xml:space="preserve"> buffered formalin for 24 h, washed, dehydrated, cleared, embedded, sectioned</w:t>
      </w:r>
      <w:r w:rsidR="005E3D90">
        <w:rPr>
          <w:rStyle w:val="PageNumber"/>
          <w:rFonts w:asciiTheme="majorBidi" w:hAnsiTheme="majorBidi" w:cstheme="majorBidi"/>
          <w:sz w:val="24"/>
          <w:szCs w:val="24"/>
        </w:rPr>
        <w:t xml:space="preserve"> in 5 µm</w:t>
      </w:r>
      <w:r w:rsidR="004C6F43" w:rsidRPr="00C71AD6">
        <w:rPr>
          <w:rStyle w:val="PageNumber"/>
          <w:rFonts w:asciiTheme="majorBidi" w:hAnsiTheme="majorBidi" w:cstheme="majorBidi"/>
          <w:sz w:val="24"/>
          <w:szCs w:val="24"/>
        </w:rPr>
        <w:t xml:space="preserve">, stained with </w:t>
      </w:r>
      <w:proofErr w:type="spellStart"/>
      <w:r w:rsidR="004C6F43" w:rsidRPr="00C71AD6">
        <w:rPr>
          <w:rStyle w:val="PageNumber"/>
          <w:rFonts w:asciiTheme="majorBidi" w:hAnsiTheme="majorBidi" w:cstheme="majorBidi"/>
          <w:sz w:val="24"/>
          <w:szCs w:val="24"/>
        </w:rPr>
        <w:t>Ehrlichs</w:t>
      </w:r>
      <w:proofErr w:type="spellEnd"/>
      <w:r w:rsidR="004C6F43" w:rsidRPr="00C71AD6">
        <w:rPr>
          <w:rStyle w:val="PageNumber"/>
          <w:rFonts w:asciiTheme="majorBidi" w:hAnsiTheme="majorBidi" w:cstheme="majorBidi"/>
          <w:sz w:val="24"/>
          <w:szCs w:val="24"/>
        </w:rPr>
        <w:t xml:space="preserve"> </w:t>
      </w:r>
      <w:proofErr w:type="spellStart"/>
      <w:r w:rsidR="00574CC5">
        <w:rPr>
          <w:rStyle w:val="PageNumber"/>
          <w:rFonts w:asciiTheme="majorBidi" w:hAnsiTheme="majorBidi" w:cstheme="majorBidi"/>
          <w:sz w:val="24"/>
          <w:szCs w:val="24"/>
        </w:rPr>
        <w:t>h</w:t>
      </w:r>
      <w:r w:rsidR="004C6F43" w:rsidRPr="00C71AD6">
        <w:rPr>
          <w:rStyle w:val="PageNumber"/>
          <w:rFonts w:asciiTheme="majorBidi" w:hAnsiTheme="majorBidi" w:cstheme="majorBidi"/>
          <w:sz w:val="24"/>
          <w:szCs w:val="24"/>
        </w:rPr>
        <w:t>eamatoxylin</w:t>
      </w:r>
      <w:proofErr w:type="spellEnd"/>
      <w:r w:rsidR="004C6F43" w:rsidRPr="00C71AD6">
        <w:rPr>
          <w:rStyle w:val="PageNumber"/>
          <w:rFonts w:asciiTheme="majorBidi" w:hAnsiTheme="majorBidi" w:cstheme="majorBidi"/>
          <w:sz w:val="24"/>
          <w:szCs w:val="24"/>
        </w:rPr>
        <w:t xml:space="preserve"> </w:t>
      </w:r>
      <w:r w:rsidR="005E3D90">
        <w:rPr>
          <w:rStyle w:val="PageNumber"/>
          <w:rFonts w:asciiTheme="majorBidi" w:hAnsiTheme="majorBidi" w:cstheme="majorBidi"/>
          <w:sz w:val="24"/>
          <w:szCs w:val="24"/>
        </w:rPr>
        <w:t>and</w:t>
      </w:r>
      <w:r w:rsidR="004C6F43" w:rsidRPr="00C71AD6">
        <w:rPr>
          <w:rStyle w:val="PageNumber"/>
          <w:rFonts w:asciiTheme="majorBidi" w:hAnsiTheme="majorBidi" w:cstheme="majorBidi"/>
          <w:sz w:val="24"/>
          <w:szCs w:val="24"/>
        </w:rPr>
        <w:t xml:space="preserve"> eosin and mounted on a clean glass slides then examined.</w:t>
      </w:r>
      <w:r w:rsidRPr="00C71AD6">
        <w:rPr>
          <w:rStyle w:val="PageNumber"/>
          <w:rFonts w:asciiTheme="majorBidi" w:hAnsiTheme="majorBidi" w:cstheme="majorBidi"/>
          <w:sz w:val="24"/>
          <w:szCs w:val="24"/>
        </w:rPr>
        <w:t xml:space="preserve"> </w:t>
      </w:r>
    </w:p>
    <w:p w:rsidR="00424881" w:rsidRPr="00C71AD6" w:rsidRDefault="0017076E" w:rsidP="005E3D90">
      <w:pPr>
        <w:bidi w:val="0"/>
        <w:spacing w:after="0" w:line="360" w:lineRule="auto"/>
        <w:ind w:left="-74"/>
        <w:jc w:val="both"/>
        <w:rPr>
          <w:rStyle w:val="PageNumber"/>
          <w:rFonts w:asciiTheme="majorBidi" w:hAnsiTheme="majorBidi" w:cstheme="majorBidi"/>
          <w:b/>
          <w:bCs/>
          <w:sz w:val="24"/>
          <w:szCs w:val="24"/>
        </w:rPr>
      </w:pPr>
      <w:r w:rsidRPr="00C71AD6">
        <w:rPr>
          <w:rStyle w:val="PageNumber"/>
          <w:rFonts w:asciiTheme="majorBidi" w:hAnsiTheme="majorBidi" w:cstheme="majorBidi"/>
          <w:sz w:val="24"/>
          <w:szCs w:val="24"/>
        </w:rPr>
        <w:t xml:space="preserve">     </w:t>
      </w:r>
      <w:r w:rsidR="00424881" w:rsidRPr="00C71AD6">
        <w:rPr>
          <w:rStyle w:val="PageNumber"/>
          <w:rFonts w:asciiTheme="majorBidi" w:hAnsiTheme="majorBidi" w:cstheme="majorBidi"/>
          <w:b/>
          <w:bCs/>
          <w:sz w:val="24"/>
          <w:szCs w:val="24"/>
        </w:rPr>
        <w:t>Results</w:t>
      </w:r>
    </w:p>
    <w:p w:rsidR="005E3D90" w:rsidRPr="005E3D90" w:rsidRDefault="005E3D90" w:rsidP="005E3D90">
      <w:pPr>
        <w:bidi w:val="0"/>
        <w:spacing w:line="360" w:lineRule="auto"/>
        <w:jc w:val="both"/>
        <w:rPr>
          <w:rFonts w:asciiTheme="majorBidi" w:hAnsiTheme="majorBidi" w:cstheme="majorBidi"/>
          <w:b/>
          <w:bCs/>
          <w:sz w:val="24"/>
          <w:szCs w:val="24"/>
          <w:lang w:bidi="ar-EG"/>
        </w:rPr>
      </w:pPr>
      <w:r w:rsidRPr="005E3D90">
        <w:rPr>
          <w:rFonts w:asciiTheme="majorBidi" w:hAnsiTheme="majorBidi" w:cstheme="majorBidi"/>
          <w:b/>
          <w:bCs/>
          <w:sz w:val="24"/>
          <w:szCs w:val="24"/>
          <w:lang w:bidi="ar-EG"/>
        </w:rPr>
        <w:t>Maternal body weight change:</w:t>
      </w:r>
    </w:p>
    <w:p w:rsidR="005E3D90" w:rsidRPr="005E3D90" w:rsidRDefault="00995601" w:rsidP="005E3D90">
      <w:pPr>
        <w:tabs>
          <w:tab w:val="left" w:pos="2070"/>
        </w:tabs>
        <w:bidi w:val="0"/>
        <w:spacing w:before="240" w:line="360" w:lineRule="auto"/>
        <w:ind w:firstLine="720"/>
        <w:jc w:val="both"/>
        <w:rPr>
          <w:rStyle w:val="PageNumber"/>
          <w:rFonts w:asciiTheme="majorBidi" w:hAnsiTheme="majorBidi" w:cstheme="majorBidi"/>
          <w:noProof/>
          <w:sz w:val="24"/>
          <w:szCs w:val="24"/>
        </w:rPr>
      </w:pPr>
      <w:r>
        <w:rPr>
          <w:rStyle w:val="PageNumber"/>
          <w:rFonts w:asciiTheme="majorBidi" w:hAnsiTheme="majorBidi" w:cstheme="majorBidi"/>
          <w:noProof/>
          <w:sz w:val="24"/>
          <w:szCs w:val="24"/>
        </w:rPr>
        <w:t>T</w:t>
      </w:r>
      <w:r w:rsidR="005E3D90" w:rsidRPr="005E3D90">
        <w:rPr>
          <w:rStyle w:val="PageNumber"/>
          <w:rFonts w:asciiTheme="majorBidi" w:hAnsiTheme="majorBidi" w:cstheme="majorBidi"/>
          <w:noProof/>
          <w:sz w:val="24"/>
          <w:szCs w:val="24"/>
        </w:rPr>
        <w:t xml:space="preserve">he body weight was recorded at the end of the </w:t>
      </w:r>
      <w:r w:rsidR="005E3D90">
        <w:rPr>
          <w:rStyle w:val="PageNumber"/>
          <w:rFonts w:asciiTheme="majorBidi" w:hAnsiTheme="majorBidi" w:cstheme="majorBidi"/>
          <w:noProof/>
          <w:sz w:val="24"/>
          <w:szCs w:val="24"/>
        </w:rPr>
        <w:t>1</w:t>
      </w:r>
      <w:r w:rsidR="005E3D90" w:rsidRPr="005E3D90">
        <w:rPr>
          <w:rStyle w:val="PageNumber"/>
          <w:rFonts w:asciiTheme="majorBidi" w:hAnsiTheme="majorBidi" w:cstheme="majorBidi"/>
          <w:noProof/>
          <w:sz w:val="24"/>
          <w:szCs w:val="24"/>
          <w:vertAlign w:val="superscript"/>
        </w:rPr>
        <w:t>st</w:t>
      </w:r>
      <w:r w:rsidR="005E3D90" w:rsidRPr="005E3D90">
        <w:rPr>
          <w:rStyle w:val="PageNumber"/>
          <w:rFonts w:asciiTheme="majorBidi" w:hAnsiTheme="majorBidi" w:cstheme="majorBidi"/>
          <w:noProof/>
          <w:sz w:val="24"/>
          <w:szCs w:val="24"/>
        </w:rPr>
        <w:t xml:space="preserve">, </w:t>
      </w:r>
      <w:r w:rsidR="005E3D90">
        <w:rPr>
          <w:rStyle w:val="PageNumber"/>
          <w:rFonts w:asciiTheme="majorBidi" w:hAnsiTheme="majorBidi" w:cstheme="majorBidi"/>
          <w:noProof/>
          <w:sz w:val="24"/>
          <w:szCs w:val="24"/>
        </w:rPr>
        <w:t>2</w:t>
      </w:r>
      <w:r w:rsidR="005E3D90" w:rsidRPr="005E3D90">
        <w:rPr>
          <w:rStyle w:val="PageNumber"/>
          <w:rFonts w:asciiTheme="majorBidi" w:hAnsiTheme="majorBidi" w:cstheme="majorBidi"/>
          <w:noProof/>
          <w:sz w:val="24"/>
          <w:szCs w:val="24"/>
          <w:vertAlign w:val="superscript"/>
        </w:rPr>
        <w:t>nd</w:t>
      </w:r>
      <w:r w:rsidR="005E3D90">
        <w:rPr>
          <w:rStyle w:val="PageNumber"/>
          <w:rFonts w:asciiTheme="majorBidi" w:hAnsiTheme="majorBidi" w:cstheme="majorBidi"/>
          <w:noProof/>
          <w:sz w:val="24"/>
          <w:szCs w:val="24"/>
        </w:rPr>
        <w:t xml:space="preserve"> </w:t>
      </w:r>
      <w:r w:rsidR="005E3D90" w:rsidRPr="005E3D90">
        <w:rPr>
          <w:rStyle w:val="PageNumber"/>
          <w:rFonts w:asciiTheme="majorBidi" w:hAnsiTheme="majorBidi" w:cstheme="majorBidi"/>
          <w:noProof/>
          <w:sz w:val="24"/>
          <w:szCs w:val="24"/>
        </w:rPr>
        <w:t xml:space="preserve">and </w:t>
      </w:r>
      <w:r w:rsidR="005E3D90">
        <w:rPr>
          <w:rStyle w:val="PageNumber"/>
          <w:rFonts w:asciiTheme="majorBidi" w:hAnsiTheme="majorBidi" w:cstheme="majorBidi"/>
          <w:noProof/>
          <w:sz w:val="24"/>
          <w:szCs w:val="24"/>
        </w:rPr>
        <w:t>3</w:t>
      </w:r>
      <w:r w:rsidR="005E3D90" w:rsidRPr="005E3D90">
        <w:rPr>
          <w:rStyle w:val="PageNumber"/>
          <w:rFonts w:asciiTheme="majorBidi" w:hAnsiTheme="majorBidi" w:cstheme="majorBidi"/>
          <w:noProof/>
          <w:sz w:val="24"/>
          <w:szCs w:val="24"/>
          <w:vertAlign w:val="superscript"/>
        </w:rPr>
        <w:t>rd</w:t>
      </w:r>
      <w:r w:rsidR="005E3D90">
        <w:rPr>
          <w:rStyle w:val="PageNumber"/>
          <w:rFonts w:asciiTheme="majorBidi" w:hAnsiTheme="majorBidi" w:cstheme="majorBidi"/>
          <w:noProof/>
          <w:sz w:val="24"/>
          <w:szCs w:val="24"/>
        </w:rPr>
        <w:t xml:space="preserve"> </w:t>
      </w:r>
      <w:r w:rsidR="005E3D90" w:rsidRPr="005E3D90">
        <w:rPr>
          <w:rStyle w:val="PageNumber"/>
          <w:rFonts w:asciiTheme="majorBidi" w:hAnsiTheme="majorBidi" w:cstheme="majorBidi"/>
          <w:noProof/>
          <w:sz w:val="24"/>
          <w:szCs w:val="24"/>
        </w:rPr>
        <w:t>week for treated females bofore mating (non-pregnant females) as well as females of the control group (Table 1 and Fig. 1). The percent of weight change as represented in Table 1 was statistically insignificant.</w:t>
      </w:r>
    </w:p>
    <w:p w:rsidR="00A63278" w:rsidRPr="00995601" w:rsidRDefault="005E3D90" w:rsidP="00995601">
      <w:pPr>
        <w:tabs>
          <w:tab w:val="left" w:pos="2070"/>
        </w:tabs>
        <w:bidi w:val="0"/>
        <w:spacing w:before="240" w:line="360" w:lineRule="auto"/>
        <w:ind w:firstLine="720"/>
        <w:jc w:val="both"/>
        <w:rPr>
          <w:rStyle w:val="PageNumber"/>
          <w:rFonts w:asciiTheme="majorBidi" w:hAnsiTheme="majorBidi" w:cstheme="majorBidi"/>
          <w:noProof/>
          <w:sz w:val="24"/>
          <w:szCs w:val="24"/>
        </w:rPr>
      </w:pPr>
      <w:r w:rsidRPr="005E3D90">
        <w:rPr>
          <w:rStyle w:val="PageNumber"/>
          <w:rFonts w:asciiTheme="majorBidi" w:hAnsiTheme="majorBidi" w:cstheme="majorBidi"/>
          <w:noProof/>
          <w:sz w:val="24"/>
          <w:szCs w:val="24"/>
        </w:rPr>
        <w:t xml:space="preserve">After mating, the body weight of females of each group was recorded every 6 days of gestation until day 18 of pregnancy. Most of the treated pregnant females showed little increase in body weight throughout the three periods. In contrast, the decrease in body weight of the treated pregnant females in comparison with the control was significant and is proportional with the duration and level of the used dose of TCE (Table 2 and fig. 1). In </w:t>
      </w:r>
      <w:r w:rsidR="00A63278" w:rsidRPr="00765E09">
        <w:rPr>
          <w:rStyle w:val="PageNumber"/>
          <w:rFonts w:asciiTheme="majorBidi" w:hAnsiTheme="majorBidi" w:cstheme="majorBidi"/>
          <w:noProof/>
          <w:sz w:val="24"/>
          <w:szCs w:val="24"/>
        </w:rPr>
        <w:lastRenderedPageBreak/>
        <w:t>addition, the bo</w:t>
      </w:r>
      <w:r w:rsidRPr="00765E09">
        <w:rPr>
          <w:rStyle w:val="PageNumber"/>
          <w:rFonts w:asciiTheme="majorBidi" w:hAnsiTheme="majorBidi" w:cstheme="majorBidi"/>
          <w:noProof/>
          <w:sz w:val="24"/>
          <w:szCs w:val="24"/>
        </w:rPr>
        <w:t xml:space="preserve">dy weight gain of TCE treated pregnant females of group two (G2) at the end of day 18 of gestation was significantly decreased compared with body weight gain of group one (G1). </w:t>
      </w:r>
    </w:p>
    <w:tbl>
      <w:tblPr>
        <w:tblpPr w:leftFromText="180" w:rightFromText="180" w:vertAnchor="text" w:horzAnchor="margin" w:tblpXSpec="center" w:tblpY="532"/>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1E0"/>
      </w:tblPr>
      <w:tblGrid>
        <w:gridCol w:w="675"/>
        <w:gridCol w:w="1042"/>
        <w:gridCol w:w="833"/>
        <w:gridCol w:w="1059"/>
        <w:gridCol w:w="872"/>
        <w:gridCol w:w="1059"/>
        <w:gridCol w:w="872"/>
        <w:gridCol w:w="1059"/>
        <w:gridCol w:w="872"/>
        <w:gridCol w:w="1061"/>
      </w:tblGrid>
      <w:tr w:rsidR="00765E09" w:rsidRPr="005E3D90" w:rsidTr="00995601">
        <w:trPr>
          <w:trHeight w:val="223"/>
        </w:trPr>
        <w:tc>
          <w:tcPr>
            <w:tcW w:w="9404" w:type="dxa"/>
            <w:gridSpan w:val="10"/>
            <w:tcBorders>
              <w:top w:val="thinThickSmallGap" w:sz="12" w:space="0" w:color="auto"/>
              <w:left w:val="thinThickSmallGap" w:sz="12" w:space="0" w:color="auto"/>
              <w:bottom w:val="thinThickSmallGap" w:sz="12" w:space="0" w:color="auto"/>
              <w:right w:val="thinThickSmallGap" w:sz="12" w:space="0" w:color="auto"/>
            </w:tcBorders>
            <w:shd w:val="pct5" w:color="auto" w:fill="auto"/>
            <w:vAlign w:val="center"/>
          </w:tcPr>
          <w:p w:rsidR="00765E09" w:rsidRPr="00A63278" w:rsidRDefault="00765E09" w:rsidP="00765E09">
            <w:pPr>
              <w:bidi w:val="0"/>
              <w:jc w:val="center"/>
              <w:rPr>
                <w:rFonts w:asciiTheme="majorBidi" w:hAnsiTheme="majorBidi" w:cstheme="majorBidi"/>
                <w:b/>
                <w:bCs/>
                <w:sz w:val="16"/>
                <w:szCs w:val="16"/>
                <w:lang w:bidi="ar-EG"/>
              </w:rPr>
            </w:pPr>
            <w:r w:rsidRPr="00A63278">
              <w:rPr>
                <w:rFonts w:asciiTheme="majorBidi" w:hAnsiTheme="majorBidi" w:cstheme="majorBidi"/>
                <w:b/>
                <w:bCs/>
                <w:sz w:val="16"/>
                <w:szCs w:val="16"/>
                <w:lang w:bidi="ar-IQ"/>
              </w:rPr>
              <w:t>Weight of females before mating</w:t>
            </w:r>
          </w:p>
        </w:tc>
      </w:tr>
      <w:tr w:rsidR="00765E09" w:rsidRPr="005E3D90" w:rsidTr="00995601">
        <w:trPr>
          <w:trHeight w:val="249"/>
        </w:trPr>
        <w:tc>
          <w:tcPr>
            <w:tcW w:w="675" w:type="dxa"/>
            <w:vMerge w:val="restart"/>
            <w:tcBorders>
              <w:top w:val="thinThickSmallGap" w:sz="12" w:space="0" w:color="auto"/>
              <w:left w:val="thinThickSmallGap" w:sz="12" w:space="0" w:color="auto"/>
              <w:right w:val="thinThickSmallGap" w:sz="12" w:space="0" w:color="auto"/>
            </w:tcBorders>
            <w:shd w:val="pct5" w:color="auto" w:fill="FFFFFF" w:themeFill="background1"/>
            <w:textDirection w:val="btLr"/>
            <w:vAlign w:val="center"/>
          </w:tcPr>
          <w:p w:rsidR="00765E09" w:rsidRPr="00A63278" w:rsidRDefault="00765E09" w:rsidP="00765E09">
            <w:pPr>
              <w:bidi w:val="0"/>
              <w:ind w:left="113" w:right="113"/>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Groups</w:t>
            </w:r>
          </w:p>
        </w:tc>
        <w:tc>
          <w:tcPr>
            <w:tcW w:w="2934" w:type="dxa"/>
            <w:gridSpan w:val="3"/>
            <w:tcBorders>
              <w:top w:val="thinThickSmallGap" w:sz="12" w:space="0" w:color="auto"/>
              <w:left w:val="thinThickSmallGap" w:sz="12" w:space="0" w:color="auto"/>
              <w:bottom w:val="single" w:sz="2" w:space="0" w:color="auto"/>
              <w:right w:val="thinThickSmallGap" w:sz="12" w:space="0" w:color="auto"/>
            </w:tcBorders>
            <w:shd w:val="pct5" w:color="auto" w:fill="auto"/>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1st  Day</w:t>
            </w:r>
          </w:p>
        </w:tc>
        <w:tc>
          <w:tcPr>
            <w:tcW w:w="1931" w:type="dxa"/>
            <w:gridSpan w:val="2"/>
            <w:tcBorders>
              <w:top w:val="thinThickSmallGap" w:sz="12" w:space="0" w:color="auto"/>
              <w:left w:val="thinThickSmallGap" w:sz="12" w:space="0" w:color="auto"/>
              <w:bottom w:val="single" w:sz="2" w:space="0" w:color="auto"/>
              <w:right w:val="thinThickSmallGap" w:sz="12" w:space="0" w:color="auto"/>
            </w:tcBorders>
            <w:shd w:val="pct5" w:color="auto" w:fill="auto"/>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End of  1st  week</w:t>
            </w:r>
          </w:p>
        </w:tc>
        <w:tc>
          <w:tcPr>
            <w:tcW w:w="1931" w:type="dxa"/>
            <w:gridSpan w:val="2"/>
            <w:tcBorders>
              <w:top w:val="thinThickSmallGap" w:sz="12" w:space="0" w:color="auto"/>
              <w:left w:val="thinThickSmallGap" w:sz="12" w:space="0" w:color="auto"/>
              <w:bottom w:val="single" w:sz="2" w:space="0" w:color="auto"/>
              <w:right w:val="thinThickSmallGap" w:sz="12" w:space="0" w:color="auto"/>
            </w:tcBorders>
            <w:shd w:val="pct5" w:color="auto" w:fill="auto"/>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End of 2nd  weeks</w:t>
            </w:r>
          </w:p>
        </w:tc>
        <w:tc>
          <w:tcPr>
            <w:tcW w:w="1933" w:type="dxa"/>
            <w:gridSpan w:val="2"/>
            <w:tcBorders>
              <w:top w:val="thinThickSmallGap" w:sz="12" w:space="0" w:color="auto"/>
              <w:left w:val="thinThickSmallGap" w:sz="12" w:space="0" w:color="auto"/>
              <w:bottom w:val="single" w:sz="2" w:space="0" w:color="auto"/>
              <w:right w:val="thinThickSmallGap" w:sz="12" w:space="0" w:color="auto"/>
            </w:tcBorders>
            <w:shd w:val="pct5" w:color="auto" w:fill="auto"/>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End of 3rd   weeks</w:t>
            </w:r>
          </w:p>
        </w:tc>
      </w:tr>
      <w:tr w:rsidR="00765E09" w:rsidRPr="005E3D90" w:rsidTr="00995601">
        <w:trPr>
          <w:trHeight w:val="278"/>
        </w:trPr>
        <w:tc>
          <w:tcPr>
            <w:tcW w:w="675" w:type="dxa"/>
            <w:vMerge/>
            <w:tcBorders>
              <w:left w:val="thinThickSmallGap" w:sz="12" w:space="0" w:color="auto"/>
              <w:bottom w:val="thinThickSmallGap" w:sz="12" w:space="0" w:color="auto"/>
              <w:right w:val="thinThickSmallGap" w:sz="12" w:space="0" w:color="auto"/>
            </w:tcBorders>
            <w:shd w:val="pct5" w:color="auto" w:fill="FFFFFF" w:themeFill="background1"/>
            <w:vAlign w:val="center"/>
          </w:tcPr>
          <w:p w:rsidR="00765E09" w:rsidRPr="00A63278" w:rsidRDefault="00765E09" w:rsidP="00765E09">
            <w:pPr>
              <w:bidi w:val="0"/>
              <w:jc w:val="center"/>
              <w:rPr>
                <w:rFonts w:asciiTheme="majorBidi" w:hAnsiTheme="majorBidi" w:cstheme="majorBidi"/>
                <w:b/>
                <w:bCs/>
                <w:sz w:val="16"/>
                <w:szCs w:val="16"/>
                <w:lang w:bidi="ar-IQ"/>
              </w:rPr>
            </w:pPr>
          </w:p>
        </w:tc>
        <w:tc>
          <w:tcPr>
            <w:tcW w:w="1042" w:type="dxa"/>
            <w:tcBorders>
              <w:top w:val="single" w:sz="2" w:space="0" w:color="auto"/>
              <w:left w:val="thinThickSmallGap" w:sz="12" w:space="0" w:color="auto"/>
              <w:bottom w:val="thinThickSmallGap" w:sz="1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No. of females</w:t>
            </w:r>
          </w:p>
        </w:tc>
        <w:tc>
          <w:tcPr>
            <w:tcW w:w="833" w:type="dxa"/>
            <w:tcBorders>
              <w:top w:val="single" w:sz="2" w:space="0" w:color="auto"/>
              <w:left w:val="single" w:sz="2" w:space="0" w:color="auto"/>
              <w:bottom w:val="thinThickSmallGap" w:sz="1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Mean ± SD</w:t>
            </w:r>
          </w:p>
        </w:tc>
        <w:tc>
          <w:tcPr>
            <w:tcW w:w="1059" w:type="dxa"/>
            <w:tcBorders>
              <w:top w:val="single" w:sz="2" w:space="0" w:color="auto"/>
              <w:left w:val="single" w:sz="2" w:space="0" w:color="auto"/>
              <w:bottom w:val="thinThickSmallGap" w:sz="12" w:space="0" w:color="auto"/>
              <w:right w:val="thinThickSmallGap" w:sz="12" w:space="0" w:color="auto"/>
            </w:tcBorders>
            <w:shd w:val="clear" w:color="auto" w:fill="FFFFFF"/>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 of change</w:t>
            </w:r>
          </w:p>
        </w:tc>
        <w:tc>
          <w:tcPr>
            <w:tcW w:w="872" w:type="dxa"/>
            <w:tcBorders>
              <w:top w:val="single" w:sz="2" w:space="0" w:color="auto"/>
              <w:left w:val="thinThickSmallGap" w:sz="12" w:space="0" w:color="auto"/>
              <w:bottom w:val="thinThickSmallGap" w:sz="1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Mean ± SD</w:t>
            </w:r>
          </w:p>
        </w:tc>
        <w:tc>
          <w:tcPr>
            <w:tcW w:w="1059" w:type="dxa"/>
            <w:tcBorders>
              <w:top w:val="single" w:sz="2" w:space="0" w:color="auto"/>
              <w:left w:val="single" w:sz="2" w:space="0" w:color="auto"/>
              <w:bottom w:val="thinThickSmallGap" w:sz="12" w:space="0" w:color="auto"/>
              <w:right w:val="thinThickSmallGap" w:sz="12" w:space="0" w:color="auto"/>
            </w:tcBorders>
            <w:shd w:val="clear" w:color="auto" w:fill="FFFFFF"/>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 of change</w:t>
            </w:r>
          </w:p>
        </w:tc>
        <w:tc>
          <w:tcPr>
            <w:tcW w:w="872" w:type="dxa"/>
            <w:tcBorders>
              <w:top w:val="single" w:sz="2" w:space="0" w:color="auto"/>
              <w:left w:val="thinThickSmallGap" w:sz="12" w:space="0" w:color="auto"/>
              <w:bottom w:val="thinThickSmallGap" w:sz="1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Mean ± SD</w:t>
            </w:r>
          </w:p>
        </w:tc>
        <w:tc>
          <w:tcPr>
            <w:tcW w:w="1059" w:type="dxa"/>
            <w:tcBorders>
              <w:top w:val="single" w:sz="2" w:space="0" w:color="auto"/>
              <w:left w:val="single" w:sz="2" w:space="0" w:color="auto"/>
              <w:bottom w:val="thinThickSmallGap" w:sz="12" w:space="0" w:color="auto"/>
              <w:right w:val="thinThickSmallGap" w:sz="12" w:space="0" w:color="auto"/>
            </w:tcBorders>
            <w:shd w:val="clear" w:color="auto" w:fill="FFFFFF"/>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 of change</w:t>
            </w:r>
          </w:p>
        </w:tc>
        <w:tc>
          <w:tcPr>
            <w:tcW w:w="872" w:type="dxa"/>
            <w:tcBorders>
              <w:top w:val="single" w:sz="2" w:space="0" w:color="auto"/>
              <w:left w:val="thinThickSmallGap" w:sz="12" w:space="0" w:color="auto"/>
              <w:bottom w:val="thinThickSmallGap" w:sz="1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Mean ± SD</w:t>
            </w:r>
          </w:p>
        </w:tc>
        <w:tc>
          <w:tcPr>
            <w:tcW w:w="1061" w:type="dxa"/>
            <w:tcBorders>
              <w:top w:val="single" w:sz="2" w:space="0" w:color="auto"/>
              <w:left w:val="single" w:sz="2" w:space="0" w:color="auto"/>
              <w:bottom w:val="thinThickSmallGap" w:sz="12" w:space="0" w:color="auto"/>
              <w:right w:val="thinThickSmallGap" w:sz="12" w:space="0" w:color="auto"/>
            </w:tcBorders>
            <w:shd w:val="clear" w:color="auto" w:fill="FFFFFF"/>
            <w:vAlign w:val="center"/>
          </w:tcPr>
          <w:p w:rsidR="00765E09" w:rsidRPr="00A63278" w:rsidRDefault="00765E09" w:rsidP="00765E09">
            <w:pPr>
              <w:bidi w:val="0"/>
              <w:jc w:val="center"/>
              <w:rPr>
                <w:rFonts w:asciiTheme="majorBidi" w:hAnsiTheme="majorBidi" w:cstheme="majorBidi"/>
                <w:b/>
                <w:bCs/>
                <w:sz w:val="16"/>
                <w:szCs w:val="16"/>
                <w:rtl/>
                <w:lang w:bidi="ar-EG"/>
              </w:rPr>
            </w:pPr>
            <w:r w:rsidRPr="00A63278">
              <w:rPr>
                <w:rFonts w:asciiTheme="majorBidi" w:hAnsiTheme="majorBidi" w:cstheme="majorBidi"/>
                <w:b/>
                <w:bCs/>
                <w:sz w:val="16"/>
                <w:szCs w:val="16"/>
                <w:lang w:bidi="ar-IQ"/>
              </w:rPr>
              <w:t>% of change</w:t>
            </w:r>
          </w:p>
        </w:tc>
      </w:tr>
      <w:tr w:rsidR="00765E09" w:rsidRPr="005E3D90" w:rsidTr="00995601">
        <w:trPr>
          <w:trHeight w:hRule="exact" w:val="294"/>
        </w:trPr>
        <w:tc>
          <w:tcPr>
            <w:tcW w:w="675" w:type="dxa"/>
            <w:tcBorders>
              <w:top w:val="thinThickSmallGap" w:sz="12" w:space="0" w:color="auto"/>
              <w:left w:val="thinThickSmallGap" w:sz="12" w:space="0" w:color="auto"/>
              <w:bottom w:val="single" w:sz="2" w:space="0" w:color="auto"/>
              <w:right w:val="thinThickSmallGap" w:sz="12" w:space="0" w:color="auto"/>
            </w:tcBorders>
            <w:shd w:val="pct5" w:color="auto" w:fill="FFFFFF" w:themeFill="background1"/>
            <w:vAlign w:val="center"/>
          </w:tcPr>
          <w:p w:rsidR="00765E09" w:rsidRPr="00A63278" w:rsidRDefault="00765E09" w:rsidP="00765E09">
            <w:pPr>
              <w:bidi w:val="0"/>
              <w:jc w:val="center"/>
              <w:rPr>
                <w:rFonts w:asciiTheme="majorBidi" w:hAnsiTheme="majorBidi" w:cstheme="majorBidi"/>
                <w:b/>
                <w:bCs/>
                <w:sz w:val="16"/>
                <w:szCs w:val="16"/>
                <w:rtl/>
                <w:lang w:bidi="ar-EG"/>
              </w:rPr>
            </w:pPr>
            <w:r w:rsidRPr="00A63278">
              <w:rPr>
                <w:rFonts w:asciiTheme="majorBidi" w:hAnsiTheme="majorBidi" w:cstheme="majorBidi"/>
                <w:b/>
                <w:bCs/>
                <w:sz w:val="16"/>
                <w:szCs w:val="16"/>
                <w:lang w:bidi="ar-IQ"/>
              </w:rPr>
              <w:t>C</w:t>
            </w:r>
          </w:p>
        </w:tc>
        <w:tc>
          <w:tcPr>
            <w:tcW w:w="1042" w:type="dxa"/>
            <w:tcBorders>
              <w:top w:val="thinThickSmallGap" w:sz="12" w:space="0" w:color="auto"/>
              <w:left w:val="thinThickSmallGap" w:sz="12" w:space="0" w:color="auto"/>
              <w:bottom w:val="single" w:sz="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30</w:t>
            </w:r>
          </w:p>
        </w:tc>
        <w:tc>
          <w:tcPr>
            <w:tcW w:w="833" w:type="dxa"/>
            <w:tcBorders>
              <w:top w:val="thinThickSmallGap" w:sz="12" w:space="0" w:color="auto"/>
              <w:left w:val="single" w:sz="2" w:space="0" w:color="auto"/>
              <w:bottom w:val="single" w:sz="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32.0 ± 0.40</w:t>
            </w:r>
          </w:p>
        </w:tc>
        <w:tc>
          <w:tcPr>
            <w:tcW w:w="1059" w:type="dxa"/>
            <w:tcBorders>
              <w:top w:val="thinThickSmallGap" w:sz="12" w:space="0" w:color="auto"/>
              <w:left w:val="single" w:sz="2" w:space="0" w:color="auto"/>
              <w:bottom w:val="single" w:sz="2" w:space="0" w:color="auto"/>
              <w:right w:val="thinThickSmallGap" w:sz="12" w:space="0" w:color="auto"/>
            </w:tcBorders>
            <w:shd w:val="clear" w:color="auto" w:fill="FFFFFF"/>
            <w:vAlign w:val="center"/>
          </w:tcPr>
          <w:p w:rsidR="00765E09" w:rsidRPr="00A63278" w:rsidRDefault="00765E09" w:rsidP="00765E09">
            <w:pPr>
              <w:bidi w:val="0"/>
              <w:jc w:val="center"/>
              <w:rPr>
                <w:rFonts w:asciiTheme="majorBidi" w:hAnsiTheme="majorBidi" w:cstheme="majorBidi"/>
                <w:sz w:val="16"/>
                <w:szCs w:val="16"/>
                <w:rtl/>
                <w:lang w:bidi="ar-EG"/>
              </w:rPr>
            </w:pPr>
            <w:r w:rsidRPr="00A63278">
              <w:rPr>
                <w:rFonts w:asciiTheme="majorBidi" w:hAnsiTheme="majorBidi" w:cstheme="majorBidi"/>
                <w:sz w:val="16"/>
                <w:szCs w:val="16"/>
                <w:lang w:bidi="ar-IQ"/>
              </w:rPr>
              <w:t>0</w:t>
            </w:r>
          </w:p>
        </w:tc>
        <w:tc>
          <w:tcPr>
            <w:tcW w:w="872" w:type="dxa"/>
            <w:tcBorders>
              <w:top w:val="thinThickSmallGap" w:sz="12" w:space="0" w:color="auto"/>
              <w:left w:val="thinThickSmallGap" w:sz="12" w:space="0" w:color="auto"/>
              <w:bottom w:val="single" w:sz="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32.6 ± 0.32</w:t>
            </w:r>
          </w:p>
        </w:tc>
        <w:tc>
          <w:tcPr>
            <w:tcW w:w="1059" w:type="dxa"/>
            <w:tcBorders>
              <w:top w:val="thinThickSmallGap" w:sz="12" w:space="0" w:color="auto"/>
              <w:left w:val="single" w:sz="2" w:space="0" w:color="auto"/>
              <w:bottom w:val="single" w:sz="2" w:space="0" w:color="auto"/>
              <w:right w:val="thinThickSmallGap" w:sz="12" w:space="0" w:color="auto"/>
            </w:tcBorders>
            <w:shd w:val="clear" w:color="auto" w:fill="FFFFFF"/>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1.88</w:t>
            </w:r>
          </w:p>
        </w:tc>
        <w:tc>
          <w:tcPr>
            <w:tcW w:w="872" w:type="dxa"/>
            <w:tcBorders>
              <w:top w:val="thinThickSmallGap" w:sz="12" w:space="0" w:color="auto"/>
              <w:left w:val="thinThickSmallGap" w:sz="12" w:space="0" w:color="auto"/>
              <w:bottom w:val="single" w:sz="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33 ± 0.32</w:t>
            </w:r>
          </w:p>
        </w:tc>
        <w:tc>
          <w:tcPr>
            <w:tcW w:w="1059" w:type="dxa"/>
            <w:tcBorders>
              <w:top w:val="thinThickSmallGap" w:sz="12" w:space="0" w:color="auto"/>
              <w:left w:val="single" w:sz="2" w:space="0" w:color="auto"/>
              <w:bottom w:val="single" w:sz="2" w:space="0" w:color="auto"/>
              <w:right w:val="thinThickSmallGap" w:sz="12" w:space="0" w:color="auto"/>
            </w:tcBorders>
            <w:shd w:val="clear" w:color="auto" w:fill="FFFFFF"/>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3.13</w:t>
            </w:r>
          </w:p>
        </w:tc>
        <w:tc>
          <w:tcPr>
            <w:tcW w:w="872" w:type="dxa"/>
            <w:tcBorders>
              <w:top w:val="thinThickSmallGap" w:sz="12" w:space="0" w:color="auto"/>
              <w:left w:val="thinThickSmallGap" w:sz="12" w:space="0" w:color="auto"/>
              <w:bottom w:val="single" w:sz="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33.9 ± 0.32</w:t>
            </w:r>
          </w:p>
        </w:tc>
        <w:tc>
          <w:tcPr>
            <w:tcW w:w="1061" w:type="dxa"/>
            <w:tcBorders>
              <w:top w:val="thinThickSmallGap" w:sz="12" w:space="0" w:color="auto"/>
              <w:left w:val="single" w:sz="2" w:space="0" w:color="auto"/>
              <w:bottom w:val="single" w:sz="2" w:space="0" w:color="auto"/>
              <w:right w:val="thinThickSmallGap" w:sz="12" w:space="0" w:color="auto"/>
            </w:tcBorders>
            <w:shd w:val="clear" w:color="auto" w:fill="FFFFFF"/>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5.94</w:t>
            </w:r>
          </w:p>
          <w:p w:rsidR="00765E09" w:rsidRPr="00A63278" w:rsidRDefault="00765E09" w:rsidP="00765E09">
            <w:pPr>
              <w:bidi w:val="0"/>
              <w:jc w:val="center"/>
              <w:rPr>
                <w:rFonts w:asciiTheme="majorBidi" w:hAnsiTheme="majorBidi" w:cstheme="majorBidi"/>
                <w:sz w:val="16"/>
                <w:szCs w:val="16"/>
                <w:lang w:bidi="ar-IQ"/>
              </w:rPr>
            </w:pPr>
          </w:p>
        </w:tc>
      </w:tr>
      <w:tr w:rsidR="00765E09" w:rsidRPr="005E3D90" w:rsidTr="00995601">
        <w:trPr>
          <w:trHeight w:hRule="exact" w:val="294"/>
        </w:trPr>
        <w:tc>
          <w:tcPr>
            <w:tcW w:w="675" w:type="dxa"/>
            <w:tcBorders>
              <w:top w:val="single" w:sz="2" w:space="0" w:color="auto"/>
              <w:left w:val="thinThickSmallGap" w:sz="12" w:space="0" w:color="auto"/>
              <w:bottom w:val="single" w:sz="2" w:space="0" w:color="auto"/>
              <w:right w:val="thinThickSmallGap" w:sz="12" w:space="0" w:color="auto"/>
            </w:tcBorders>
            <w:shd w:val="pct5" w:color="auto" w:fill="FFFFFF" w:themeFill="background1"/>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G1</w:t>
            </w:r>
          </w:p>
        </w:tc>
        <w:tc>
          <w:tcPr>
            <w:tcW w:w="1042" w:type="dxa"/>
            <w:tcBorders>
              <w:top w:val="single" w:sz="2" w:space="0" w:color="auto"/>
              <w:left w:val="thinThickSmallGap" w:sz="12" w:space="0" w:color="auto"/>
              <w:bottom w:val="single" w:sz="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sz w:val="16"/>
                <w:szCs w:val="16"/>
                <w:rtl/>
                <w:lang w:bidi="ar-EG"/>
              </w:rPr>
            </w:pPr>
            <w:r w:rsidRPr="00A63278">
              <w:rPr>
                <w:rFonts w:asciiTheme="majorBidi" w:hAnsiTheme="majorBidi" w:cstheme="majorBidi"/>
                <w:sz w:val="16"/>
                <w:szCs w:val="16"/>
                <w:lang w:bidi="ar-IQ"/>
              </w:rPr>
              <w:t>30</w:t>
            </w:r>
          </w:p>
        </w:tc>
        <w:tc>
          <w:tcPr>
            <w:tcW w:w="83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32.0 ± 0.28</w:t>
            </w:r>
          </w:p>
        </w:tc>
        <w:tc>
          <w:tcPr>
            <w:tcW w:w="1059" w:type="dxa"/>
            <w:tcBorders>
              <w:top w:val="single" w:sz="2" w:space="0" w:color="auto"/>
              <w:left w:val="single" w:sz="2" w:space="0" w:color="auto"/>
              <w:bottom w:val="single" w:sz="2" w:space="0" w:color="auto"/>
              <w:right w:val="thinThickSmallGap" w:sz="12" w:space="0" w:color="auto"/>
            </w:tcBorders>
            <w:shd w:val="clear" w:color="auto" w:fill="FFFFFF"/>
            <w:vAlign w:val="center"/>
          </w:tcPr>
          <w:p w:rsidR="00765E09" w:rsidRPr="00A63278" w:rsidRDefault="00765E09" w:rsidP="00765E09">
            <w:pPr>
              <w:bidi w:val="0"/>
              <w:jc w:val="center"/>
              <w:rPr>
                <w:rFonts w:asciiTheme="majorBidi" w:hAnsiTheme="majorBidi" w:cstheme="majorBidi"/>
                <w:sz w:val="16"/>
                <w:szCs w:val="16"/>
                <w:rtl/>
                <w:lang w:bidi="ar-EG"/>
              </w:rPr>
            </w:pPr>
            <w:r w:rsidRPr="00A63278">
              <w:rPr>
                <w:rFonts w:asciiTheme="majorBidi" w:hAnsiTheme="majorBidi" w:cstheme="majorBidi"/>
                <w:sz w:val="16"/>
                <w:szCs w:val="16"/>
                <w:lang w:bidi="ar-IQ"/>
              </w:rPr>
              <w:t>0</w:t>
            </w:r>
          </w:p>
        </w:tc>
        <w:tc>
          <w:tcPr>
            <w:tcW w:w="872" w:type="dxa"/>
            <w:tcBorders>
              <w:top w:val="single" w:sz="2" w:space="0" w:color="auto"/>
              <w:left w:val="thinThickSmallGap" w:sz="12" w:space="0" w:color="auto"/>
              <w:bottom w:val="single" w:sz="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31.1 ± 0.26</w:t>
            </w:r>
          </w:p>
        </w:tc>
        <w:tc>
          <w:tcPr>
            <w:tcW w:w="1059" w:type="dxa"/>
            <w:tcBorders>
              <w:top w:val="single" w:sz="2" w:space="0" w:color="auto"/>
              <w:left w:val="single" w:sz="2" w:space="0" w:color="auto"/>
              <w:bottom w:val="single" w:sz="2" w:space="0" w:color="auto"/>
              <w:right w:val="thinThickSmallGap" w:sz="12" w:space="0" w:color="auto"/>
            </w:tcBorders>
            <w:shd w:val="clear" w:color="auto" w:fill="FFFFFF"/>
            <w:vAlign w:val="center"/>
          </w:tcPr>
          <w:p w:rsidR="00765E09" w:rsidRPr="00A63278" w:rsidRDefault="00765E09" w:rsidP="00765E09">
            <w:pPr>
              <w:bidi w:val="0"/>
              <w:jc w:val="center"/>
              <w:rPr>
                <w:rFonts w:asciiTheme="majorBidi" w:hAnsiTheme="majorBidi" w:cstheme="majorBidi"/>
                <w:sz w:val="16"/>
                <w:szCs w:val="16"/>
                <w:lang w:bidi="ar-EG"/>
              </w:rPr>
            </w:pPr>
            <w:r w:rsidRPr="00A63278">
              <w:rPr>
                <w:rFonts w:asciiTheme="majorBidi" w:hAnsiTheme="majorBidi" w:cstheme="majorBidi"/>
                <w:sz w:val="16"/>
                <w:szCs w:val="16"/>
                <w:lang w:bidi="ar-IQ"/>
              </w:rPr>
              <w:t>2.81</w:t>
            </w:r>
          </w:p>
        </w:tc>
        <w:tc>
          <w:tcPr>
            <w:tcW w:w="872" w:type="dxa"/>
            <w:tcBorders>
              <w:top w:val="single" w:sz="2" w:space="0" w:color="auto"/>
              <w:left w:val="thinThickSmallGap" w:sz="12" w:space="0" w:color="auto"/>
              <w:bottom w:val="single" w:sz="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30.2 ± 0.26</w:t>
            </w:r>
          </w:p>
        </w:tc>
        <w:tc>
          <w:tcPr>
            <w:tcW w:w="1059" w:type="dxa"/>
            <w:tcBorders>
              <w:top w:val="single" w:sz="2" w:space="0" w:color="auto"/>
              <w:left w:val="single" w:sz="2" w:space="0" w:color="auto"/>
              <w:bottom w:val="single" w:sz="2" w:space="0" w:color="auto"/>
              <w:right w:val="thinThickSmallGap" w:sz="12" w:space="0" w:color="auto"/>
            </w:tcBorders>
            <w:shd w:val="clear" w:color="auto" w:fill="FFFFFF"/>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5.63</w:t>
            </w:r>
          </w:p>
        </w:tc>
        <w:tc>
          <w:tcPr>
            <w:tcW w:w="872" w:type="dxa"/>
            <w:tcBorders>
              <w:top w:val="single" w:sz="2" w:space="0" w:color="auto"/>
              <w:left w:val="thinThickSmallGap" w:sz="12" w:space="0" w:color="auto"/>
              <w:bottom w:val="single" w:sz="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28.8 ± 0.26</w:t>
            </w:r>
          </w:p>
        </w:tc>
        <w:tc>
          <w:tcPr>
            <w:tcW w:w="1061" w:type="dxa"/>
            <w:tcBorders>
              <w:top w:val="single" w:sz="2" w:space="0" w:color="auto"/>
              <w:left w:val="single" w:sz="2" w:space="0" w:color="auto"/>
              <w:bottom w:val="single" w:sz="2" w:space="0" w:color="auto"/>
              <w:right w:val="thinThickSmallGap" w:sz="12" w:space="0" w:color="auto"/>
            </w:tcBorders>
            <w:shd w:val="clear" w:color="auto" w:fill="FFFFFF"/>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10.00</w:t>
            </w:r>
          </w:p>
        </w:tc>
      </w:tr>
      <w:tr w:rsidR="00765E09" w:rsidRPr="005E3D90" w:rsidTr="00995601">
        <w:trPr>
          <w:trHeight w:hRule="exact" w:val="294"/>
        </w:trPr>
        <w:tc>
          <w:tcPr>
            <w:tcW w:w="675" w:type="dxa"/>
            <w:tcBorders>
              <w:top w:val="single" w:sz="2" w:space="0" w:color="auto"/>
              <w:left w:val="thinThickSmallGap" w:sz="12" w:space="0" w:color="auto"/>
              <w:bottom w:val="thinThickSmallGap" w:sz="12" w:space="0" w:color="auto"/>
              <w:right w:val="thinThickSmallGap" w:sz="12" w:space="0" w:color="auto"/>
            </w:tcBorders>
            <w:shd w:val="pct5" w:color="auto" w:fill="FFFFFF" w:themeFill="background1"/>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G2</w:t>
            </w:r>
          </w:p>
        </w:tc>
        <w:tc>
          <w:tcPr>
            <w:tcW w:w="1042" w:type="dxa"/>
            <w:tcBorders>
              <w:top w:val="single" w:sz="2" w:space="0" w:color="auto"/>
              <w:left w:val="thinThickSmallGap" w:sz="12" w:space="0" w:color="auto"/>
              <w:bottom w:val="thinThickSmallGap" w:sz="1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sz w:val="16"/>
                <w:szCs w:val="16"/>
                <w:rtl/>
                <w:lang w:bidi="ar-EG"/>
              </w:rPr>
            </w:pPr>
            <w:r w:rsidRPr="00A63278">
              <w:rPr>
                <w:rFonts w:asciiTheme="majorBidi" w:hAnsiTheme="majorBidi" w:cstheme="majorBidi"/>
                <w:sz w:val="16"/>
                <w:szCs w:val="16"/>
                <w:lang w:bidi="ar-IQ"/>
              </w:rPr>
              <w:t>30</w:t>
            </w:r>
          </w:p>
        </w:tc>
        <w:tc>
          <w:tcPr>
            <w:tcW w:w="833" w:type="dxa"/>
            <w:tcBorders>
              <w:top w:val="single" w:sz="2" w:space="0" w:color="auto"/>
              <w:left w:val="single" w:sz="2" w:space="0" w:color="auto"/>
              <w:bottom w:val="thinThickSmallGap" w:sz="1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32.0 ± 0.21</w:t>
            </w:r>
          </w:p>
        </w:tc>
        <w:tc>
          <w:tcPr>
            <w:tcW w:w="1059" w:type="dxa"/>
            <w:tcBorders>
              <w:top w:val="single" w:sz="2" w:space="0" w:color="auto"/>
              <w:left w:val="single" w:sz="2" w:space="0" w:color="auto"/>
              <w:bottom w:val="thinThickSmallGap" w:sz="12" w:space="0" w:color="auto"/>
              <w:right w:val="thinThickSmallGap" w:sz="12" w:space="0" w:color="auto"/>
            </w:tcBorders>
            <w:shd w:val="clear" w:color="auto" w:fill="FFFFFF"/>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0</w:t>
            </w:r>
          </w:p>
        </w:tc>
        <w:tc>
          <w:tcPr>
            <w:tcW w:w="872" w:type="dxa"/>
            <w:tcBorders>
              <w:top w:val="single" w:sz="2" w:space="0" w:color="auto"/>
              <w:left w:val="thinThickSmallGap" w:sz="12" w:space="0" w:color="auto"/>
              <w:bottom w:val="thinThickSmallGap" w:sz="1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30.2 ± 0.19</w:t>
            </w:r>
          </w:p>
        </w:tc>
        <w:tc>
          <w:tcPr>
            <w:tcW w:w="1059" w:type="dxa"/>
            <w:tcBorders>
              <w:top w:val="single" w:sz="2" w:space="0" w:color="auto"/>
              <w:left w:val="single" w:sz="2" w:space="0" w:color="auto"/>
              <w:bottom w:val="thinThickSmallGap" w:sz="12" w:space="0" w:color="auto"/>
              <w:right w:val="thinThickSmallGap" w:sz="12" w:space="0" w:color="auto"/>
            </w:tcBorders>
            <w:shd w:val="clear" w:color="auto" w:fill="FFFFFF"/>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5.63</w:t>
            </w:r>
          </w:p>
        </w:tc>
        <w:tc>
          <w:tcPr>
            <w:tcW w:w="872" w:type="dxa"/>
            <w:tcBorders>
              <w:top w:val="single" w:sz="2" w:space="0" w:color="auto"/>
              <w:left w:val="thinThickSmallGap" w:sz="12" w:space="0" w:color="auto"/>
              <w:bottom w:val="thinThickSmallGap" w:sz="1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28.9 ± 0.19</w:t>
            </w:r>
          </w:p>
        </w:tc>
        <w:tc>
          <w:tcPr>
            <w:tcW w:w="1059" w:type="dxa"/>
            <w:tcBorders>
              <w:top w:val="single" w:sz="2" w:space="0" w:color="auto"/>
              <w:left w:val="single" w:sz="2" w:space="0" w:color="auto"/>
              <w:bottom w:val="thinThickSmallGap" w:sz="12" w:space="0" w:color="auto"/>
              <w:right w:val="thinThickSmallGap" w:sz="12" w:space="0" w:color="auto"/>
            </w:tcBorders>
            <w:shd w:val="clear" w:color="auto" w:fill="FFFFFF"/>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9.67</w:t>
            </w:r>
          </w:p>
        </w:tc>
        <w:tc>
          <w:tcPr>
            <w:tcW w:w="872" w:type="dxa"/>
            <w:tcBorders>
              <w:top w:val="single" w:sz="2" w:space="0" w:color="auto"/>
              <w:left w:val="thinThickSmallGap" w:sz="12" w:space="0" w:color="auto"/>
              <w:bottom w:val="thinThickSmallGap" w:sz="12" w:space="0" w:color="auto"/>
              <w:right w:val="single" w:sz="2" w:space="0" w:color="auto"/>
            </w:tcBorders>
            <w:shd w:val="clear" w:color="auto" w:fill="FFFFFF" w:themeFill="background1"/>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26.7 ± 0.19</w:t>
            </w:r>
          </w:p>
        </w:tc>
        <w:tc>
          <w:tcPr>
            <w:tcW w:w="1061" w:type="dxa"/>
            <w:tcBorders>
              <w:top w:val="single" w:sz="2" w:space="0" w:color="auto"/>
              <w:left w:val="single" w:sz="2" w:space="0" w:color="auto"/>
              <w:bottom w:val="thinThickSmallGap" w:sz="12" w:space="0" w:color="auto"/>
              <w:right w:val="thinThickSmallGap" w:sz="12" w:space="0" w:color="auto"/>
            </w:tcBorders>
            <w:shd w:val="clear" w:color="auto" w:fill="FFFFFF"/>
            <w:vAlign w:val="center"/>
          </w:tcPr>
          <w:p w:rsidR="00765E09" w:rsidRPr="00A63278" w:rsidRDefault="00765E09" w:rsidP="00765E09">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16.56</w:t>
            </w:r>
          </w:p>
        </w:tc>
      </w:tr>
    </w:tbl>
    <w:p w:rsidR="00765E09" w:rsidRDefault="00A63278" w:rsidP="00765E09">
      <w:pPr>
        <w:tabs>
          <w:tab w:val="right" w:pos="900"/>
        </w:tabs>
        <w:autoSpaceDE w:val="0"/>
        <w:autoSpaceDN w:val="0"/>
        <w:bidi w:val="0"/>
        <w:adjustRightInd w:val="0"/>
        <w:spacing w:after="0" w:line="240" w:lineRule="auto"/>
        <w:jc w:val="both"/>
        <w:rPr>
          <w:rFonts w:asciiTheme="majorBidi" w:hAnsiTheme="majorBidi" w:cstheme="majorBidi"/>
          <w:b/>
          <w:bCs/>
          <w:sz w:val="16"/>
          <w:szCs w:val="16"/>
        </w:rPr>
      </w:pPr>
      <w:r w:rsidRPr="00765E09">
        <w:rPr>
          <w:rFonts w:asciiTheme="majorBidi" w:hAnsiTheme="majorBidi" w:cstheme="majorBidi"/>
          <w:b/>
          <w:bCs/>
          <w:sz w:val="16"/>
          <w:szCs w:val="16"/>
        </w:rPr>
        <w:t>Table 1: Relative percentage of body weight change for non-pregnant control and treated females with TCE.</w:t>
      </w:r>
    </w:p>
    <w:p w:rsidR="00765E09" w:rsidRPr="00765E09" w:rsidRDefault="00765E09" w:rsidP="00765E09">
      <w:pPr>
        <w:bidi w:val="0"/>
        <w:rPr>
          <w:rFonts w:asciiTheme="majorBidi" w:hAnsiTheme="majorBidi" w:cstheme="majorBidi"/>
          <w:sz w:val="16"/>
          <w:szCs w:val="16"/>
        </w:rPr>
      </w:pPr>
    </w:p>
    <w:p w:rsidR="00765E09" w:rsidRPr="00765E09" w:rsidRDefault="00765E09" w:rsidP="00765E09">
      <w:pPr>
        <w:tabs>
          <w:tab w:val="right" w:pos="900"/>
        </w:tabs>
        <w:autoSpaceDE w:val="0"/>
        <w:autoSpaceDN w:val="0"/>
        <w:bidi w:val="0"/>
        <w:adjustRightInd w:val="0"/>
        <w:spacing w:after="0" w:line="240" w:lineRule="auto"/>
        <w:jc w:val="both"/>
        <w:rPr>
          <w:rFonts w:asciiTheme="majorBidi" w:hAnsiTheme="majorBidi" w:cstheme="majorBidi"/>
          <w:b/>
          <w:bCs/>
          <w:sz w:val="16"/>
          <w:szCs w:val="16"/>
        </w:rPr>
      </w:pPr>
      <w:r>
        <w:rPr>
          <w:rFonts w:asciiTheme="majorBidi" w:hAnsiTheme="majorBidi" w:cstheme="majorBidi"/>
          <w:sz w:val="16"/>
          <w:szCs w:val="16"/>
        </w:rPr>
        <w:tab/>
      </w:r>
      <w:r w:rsidRPr="00765E09">
        <w:rPr>
          <w:rFonts w:asciiTheme="majorBidi" w:hAnsiTheme="majorBidi" w:cstheme="majorBidi"/>
          <w:b/>
          <w:bCs/>
          <w:sz w:val="16"/>
          <w:szCs w:val="16"/>
        </w:rPr>
        <w:t>Table 2: Relative percentage of body weight change for pregnant control and treated females with TCE.</w:t>
      </w:r>
    </w:p>
    <w:tbl>
      <w:tblPr>
        <w:tblpPr w:leftFromText="180" w:rightFromText="180" w:vertAnchor="text" w:horzAnchor="margin" w:tblpXSpec="center" w:tblpY="145"/>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860"/>
        <w:gridCol w:w="1491"/>
        <w:gridCol w:w="954"/>
        <w:gridCol w:w="798"/>
        <w:gridCol w:w="956"/>
        <w:gridCol w:w="795"/>
        <w:gridCol w:w="955"/>
        <w:gridCol w:w="956"/>
        <w:gridCol w:w="955"/>
        <w:gridCol w:w="800"/>
      </w:tblGrid>
      <w:tr w:rsidR="00765E09" w:rsidRPr="00A63278" w:rsidTr="00995601">
        <w:trPr>
          <w:trHeight w:val="190"/>
        </w:trPr>
        <w:tc>
          <w:tcPr>
            <w:tcW w:w="9520" w:type="dxa"/>
            <w:gridSpan w:val="10"/>
            <w:tcBorders>
              <w:top w:val="thinThickSmallGap" w:sz="12" w:space="0" w:color="auto"/>
              <w:left w:val="thinThickSmallGap" w:sz="12" w:space="0" w:color="auto"/>
              <w:bottom w:val="double" w:sz="4" w:space="0" w:color="auto"/>
              <w:right w:val="thinThickSmallGap" w:sz="12" w:space="0" w:color="auto"/>
            </w:tcBorders>
            <w:shd w:val="pct5" w:color="auto" w:fill="FFFFFF" w:themeFill="background1"/>
            <w:vAlign w:val="center"/>
          </w:tcPr>
          <w:p w:rsidR="00765E09" w:rsidRPr="00A63278" w:rsidRDefault="00765E09" w:rsidP="00765E09">
            <w:pPr>
              <w:bidi w:val="0"/>
              <w:jc w:val="center"/>
              <w:rPr>
                <w:rFonts w:asciiTheme="majorBidi" w:hAnsiTheme="majorBidi" w:cstheme="majorBidi"/>
                <w:b/>
                <w:bCs/>
                <w:sz w:val="16"/>
                <w:szCs w:val="16"/>
                <w:rtl/>
                <w:lang w:bidi="ar-IQ"/>
              </w:rPr>
            </w:pPr>
            <w:r w:rsidRPr="00A63278">
              <w:rPr>
                <w:rFonts w:asciiTheme="majorBidi" w:hAnsiTheme="majorBidi" w:cstheme="majorBidi"/>
                <w:b/>
                <w:bCs/>
                <w:sz w:val="16"/>
                <w:szCs w:val="16"/>
                <w:lang w:bidi="ar-IQ"/>
              </w:rPr>
              <w:t>Weight of pregnant females (after mating)</w:t>
            </w:r>
          </w:p>
        </w:tc>
      </w:tr>
      <w:tr w:rsidR="00765E09" w:rsidRPr="00A63278" w:rsidTr="00995601">
        <w:trPr>
          <w:trHeight w:val="166"/>
        </w:trPr>
        <w:tc>
          <w:tcPr>
            <w:tcW w:w="860" w:type="dxa"/>
            <w:vMerge w:val="restart"/>
            <w:tcBorders>
              <w:top w:val="double" w:sz="4" w:space="0" w:color="auto"/>
              <w:left w:val="thinThickSmallGap" w:sz="12" w:space="0" w:color="auto"/>
              <w:right w:val="thinThickSmallGap" w:sz="12" w:space="0" w:color="auto"/>
            </w:tcBorders>
            <w:shd w:val="pct5" w:color="auto" w:fill="FFFFFF" w:themeFill="background1"/>
            <w:textDirection w:val="btLr"/>
            <w:vAlign w:val="center"/>
          </w:tcPr>
          <w:p w:rsidR="00765E09" w:rsidRPr="00A63278" w:rsidRDefault="00765E09" w:rsidP="00765E09">
            <w:pPr>
              <w:bidi w:val="0"/>
              <w:ind w:left="113" w:right="113"/>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Groups</w:t>
            </w:r>
          </w:p>
        </w:tc>
        <w:tc>
          <w:tcPr>
            <w:tcW w:w="3243" w:type="dxa"/>
            <w:gridSpan w:val="3"/>
            <w:tcBorders>
              <w:top w:val="thinThickSmallGap" w:sz="12" w:space="0" w:color="auto"/>
              <w:left w:val="thinThickSmallGap" w:sz="12" w:space="0" w:color="auto"/>
              <w:bottom w:val="single" w:sz="2" w:space="0" w:color="auto"/>
              <w:right w:val="thinThickSmallGap" w:sz="12" w:space="0" w:color="auto"/>
            </w:tcBorders>
            <w:shd w:val="pct5" w:color="auto" w:fill="FFFFFF" w:themeFill="background1"/>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1</w:t>
            </w:r>
            <w:r w:rsidRPr="00A63278">
              <w:rPr>
                <w:rFonts w:asciiTheme="majorBidi" w:hAnsiTheme="majorBidi" w:cstheme="majorBidi"/>
                <w:b/>
                <w:bCs/>
                <w:sz w:val="16"/>
                <w:szCs w:val="16"/>
                <w:vertAlign w:val="superscript"/>
                <w:lang w:bidi="ar-IQ"/>
              </w:rPr>
              <w:t>st</w:t>
            </w:r>
            <w:r w:rsidRPr="00A63278">
              <w:rPr>
                <w:rFonts w:asciiTheme="majorBidi" w:hAnsiTheme="majorBidi" w:cstheme="majorBidi"/>
                <w:b/>
                <w:bCs/>
                <w:sz w:val="16"/>
                <w:szCs w:val="16"/>
                <w:lang w:bidi="ar-IQ"/>
              </w:rPr>
              <w:t xml:space="preserve">  Day</w:t>
            </w:r>
          </w:p>
        </w:tc>
        <w:tc>
          <w:tcPr>
            <w:tcW w:w="1751" w:type="dxa"/>
            <w:gridSpan w:val="2"/>
            <w:tcBorders>
              <w:top w:val="thinThickSmallGap" w:sz="12" w:space="0" w:color="auto"/>
              <w:left w:val="thinThickSmallGap" w:sz="12" w:space="0" w:color="auto"/>
              <w:bottom w:val="single" w:sz="2" w:space="0" w:color="auto"/>
              <w:right w:val="thinThickSmallGap" w:sz="12" w:space="0" w:color="auto"/>
            </w:tcBorders>
            <w:shd w:val="pct5" w:color="auto" w:fill="FFFFFF" w:themeFill="background1"/>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End of  6</w:t>
            </w:r>
            <w:r w:rsidRPr="00A63278">
              <w:rPr>
                <w:rFonts w:asciiTheme="majorBidi" w:hAnsiTheme="majorBidi" w:cstheme="majorBidi"/>
                <w:b/>
                <w:bCs/>
                <w:sz w:val="16"/>
                <w:szCs w:val="16"/>
                <w:vertAlign w:val="superscript"/>
                <w:lang w:bidi="ar-IQ"/>
              </w:rPr>
              <w:t>th</w:t>
            </w:r>
            <w:r w:rsidRPr="00A63278">
              <w:rPr>
                <w:rFonts w:asciiTheme="majorBidi" w:hAnsiTheme="majorBidi" w:cstheme="majorBidi"/>
                <w:b/>
                <w:bCs/>
                <w:sz w:val="16"/>
                <w:szCs w:val="16"/>
                <w:lang w:bidi="ar-IQ"/>
              </w:rPr>
              <w:t xml:space="preserve"> day</w:t>
            </w:r>
          </w:p>
        </w:tc>
        <w:tc>
          <w:tcPr>
            <w:tcW w:w="1911" w:type="dxa"/>
            <w:gridSpan w:val="2"/>
            <w:tcBorders>
              <w:top w:val="thinThickSmallGap" w:sz="12" w:space="0" w:color="auto"/>
              <w:left w:val="thinThickSmallGap" w:sz="12" w:space="0" w:color="auto"/>
              <w:bottom w:val="single" w:sz="2" w:space="0" w:color="auto"/>
              <w:right w:val="thinThickSmallGap" w:sz="12" w:space="0" w:color="auto"/>
            </w:tcBorders>
            <w:shd w:val="pct5" w:color="auto" w:fill="FFFFFF" w:themeFill="background1"/>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End of  12</w:t>
            </w:r>
            <w:r w:rsidRPr="00A63278">
              <w:rPr>
                <w:rFonts w:asciiTheme="majorBidi" w:hAnsiTheme="majorBidi" w:cstheme="majorBidi"/>
                <w:b/>
                <w:bCs/>
                <w:sz w:val="16"/>
                <w:szCs w:val="16"/>
                <w:vertAlign w:val="superscript"/>
                <w:lang w:bidi="ar-IQ"/>
              </w:rPr>
              <w:t>th</w:t>
            </w:r>
            <w:r w:rsidRPr="00A63278">
              <w:rPr>
                <w:rFonts w:asciiTheme="majorBidi" w:hAnsiTheme="majorBidi" w:cstheme="majorBidi"/>
                <w:b/>
                <w:bCs/>
                <w:sz w:val="16"/>
                <w:szCs w:val="16"/>
                <w:lang w:bidi="ar-IQ"/>
              </w:rPr>
              <w:t xml:space="preserve"> day</w:t>
            </w:r>
          </w:p>
        </w:tc>
        <w:tc>
          <w:tcPr>
            <w:tcW w:w="1755" w:type="dxa"/>
            <w:gridSpan w:val="2"/>
            <w:tcBorders>
              <w:top w:val="thinThickSmallGap" w:sz="12" w:space="0" w:color="auto"/>
              <w:left w:val="thinThickSmallGap" w:sz="12" w:space="0" w:color="auto"/>
              <w:bottom w:val="single" w:sz="2" w:space="0" w:color="auto"/>
              <w:right w:val="thinThickSmallGap" w:sz="12" w:space="0" w:color="auto"/>
            </w:tcBorders>
            <w:shd w:val="pct5" w:color="auto" w:fill="FFFFFF" w:themeFill="background1"/>
            <w:vAlign w:val="center"/>
          </w:tcPr>
          <w:p w:rsidR="00765E09" w:rsidRPr="00A63278" w:rsidRDefault="00765E09" w:rsidP="00765E09">
            <w:pPr>
              <w:bidi w:val="0"/>
              <w:jc w:val="center"/>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End of  18</w:t>
            </w:r>
            <w:r w:rsidRPr="00A63278">
              <w:rPr>
                <w:rFonts w:asciiTheme="majorBidi" w:hAnsiTheme="majorBidi" w:cstheme="majorBidi"/>
                <w:b/>
                <w:bCs/>
                <w:sz w:val="16"/>
                <w:szCs w:val="16"/>
                <w:vertAlign w:val="superscript"/>
                <w:lang w:bidi="ar-IQ"/>
              </w:rPr>
              <w:t>th</w:t>
            </w:r>
            <w:r w:rsidRPr="00A63278">
              <w:rPr>
                <w:rFonts w:asciiTheme="majorBidi" w:hAnsiTheme="majorBidi" w:cstheme="majorBidi"/>
                <w:b/>
                <w:bCs/>
                <w:sz w:val="16"/>
                <w:szCs w:val="16"/>
                <w:lang w:bidi="ar-IQ"/>
              </w:rPr>
              <w:t xml:space="preserve"> day</w:t>
            </w:r>
          </w:p>
        </w:tc>
      </w:tr>
      <w:tr w:rsidR="00765E09" w:rsidRPr="00A63278" w:rsidTr="00995601">
        <w:trPr>
          <w:cantSplit/>
          <w:trHeight w:hRule="exact" w:val="374"/>
        </w:trPr>
        <w:tc>
          <w:tcPr>
            <w:tcW w:w="860" w:type="dxa"/>
            <w:vMerge/>
            <w:tcBorders>
              <w:left w:val="thinThickSmallGap" w:sz="12" w:space="0" w:color="auto"/>
              <w:bottom w:val="thinThickSmallGap" w:sz="12" w:space="0" w:color="auto"/>
              <w:right w:val="thinThickSmallGap" w:sz="12" w:space="0" w:color="auto"/>
            </w:tcBorders>
            <w:shd w:val="pct5" w:color="auto" w:fill="FFFFFF" w:themeFill="background1"/>
            <w:vAlign w:val="center"/>
          </w:tcPr>
          <w:p w:rsidR="00765E09" w:rsidRPr="00A63278" w:rsidRDefault="00765E09" w:rsidP="00765E09">
            <w:pPr>
              <w:bidi w:val="0"/>
              <w:jc w:val="both"/>
              <w:rPr>
                <w:rFonts w:asciiTheme="majorBidi" w:hAnsiTheme="majorBidi" w:cstheme="majorBidi"/>
                <w:b/>
                <w:bCs/>
                <w:sz w:val="16"/>
                <w:szCs w:val="16"/>
                <w:lang w:bidi="ar-IQ"/>
              </w:rPr>
            </w:pPr>
          </w:p>
        </w:tc>
        <w:tc>
          <w:tcPr>
            <w:tcW w:w="1491" w:type="dxa"/>
            <w:tcBorders>
              <w:top w:val="single" w:sz="2" w:space="0" w:color="auto"/>
              <w:left w:val="thinThickSmallGap" w:sz="12" w:space="0" w:color="auto"/>
              <w:bottom w:val="thinThickSmallGap" w:sz="12" w:space="0" w:color="auto"/>
              <w:right w:val="single" w:sz="2" w:space="0" w:color="auto"/>
            </w:tcBorders>
            <w:shd w:val="clear" w:color="auto" w:fill="FFFFFF" w:themeFill="background1"/>
            <w:vAlign w:val="center"/>
          </w:tcPr>
          <w:p w:rsidR="00765E09" w:rsidRPr="00995601" w:rsidRDefault="00765E09" w:rsidP="00765E09">
            <w:pPr>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No. of pregnant females</w:t>
            </w:r>
          </w:p>
        </w:tc>
        <w:tc>
          <w:tcPr>
            <w:tcW w:w="954" w:type="dxa"/>
            <w:tcBorders>
              <w:top w:val="single" w:sz="2" w:space="0" w:color="auto"/>
              <w:left w:val="single" w:sz="2" w:space="0" w:color="auto"/>
              <w:bottom w:val="thinThickSmallGap" w:sz="12" w:space="0" w:color="auto"/>
              <w:right w:val="single" w:sz="2" w:space="0" w:color="auto"/>
            </w:tcBorders>
            <w:shd w:val="clear" w:color="auto" w:fill="FFFFFF" w:themeFill="background1"/>
            <w:vAlign w:val="center"/>
          </w:tcPr>
          <w:p w:rsidR="00765E09" w:rsidRPr="00995601" w:rsidRDefault="00765E09" w:rsidP="00765E09">
            <w:pPr>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Mean ± SD</w:t>
            </w:r>
          </w:p>
        </w:tc>
        <w:tc>
          <w:tcPr>
            <w:tcW w:w="797" w:type="dxa"/>
            <w:tcBorders>
              <w:top w:val="single" w:sz="2" w:space="0" w:color="auto"/>
              <w:left w:val="single" w:sz="2" w:space="0" w:color="auto"/>
              <w:bottom w:val="thinThickSmallGap" w:sz="12" w:space="0" w:color="auto"/>
              <w:right w:val="thinThickSmallGap" w:sz="12" w:space="0" w:color="auto"/>
            </w:tcBorders>
            <w:shd w:val="clear" w:color="auto" w:fill="FFFFFF"/>
            <w:vAlign w:val="center"/>
          </w:tcPr>
          <w:p w:rsidR="00765E09" w:rsidRPr="00995601" w:rsidRDefault="00765E09" w:rsidP="00765E09">
            <w:pPr>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 of change</w:t>
            </w:r>
          </w:p>
        </w:tc>
        <w:tc>
          <w:tcPr>
            <w:tcW w:w="956" w:type="dxa"/>
            <w:tcBorders>
              <w:top w:val="single" w:sz="2" w:space="0" w:color="auto"/>
              <w:left w:val="thinThickSmallGap" w:sz="12" w:space="0" w:color="auto"/>
              <w:bottom w:val="thinThickSmallGap" w:sz="12" w:space="0" w:color="auto"/>
              <w:right w:val="single" w:sz="2" w:space="0" w:color="auto"/>
            </w:tcBorders>
            <w:shd w:val="clear" w:color="auto" w:fill="FFFFFF" w:themeFill="background1"/>
            <w:vAlign w:val="center"/>
          </w:tcPr>
          <w:p w:rsidR="00765E09" w:rsidRPr="00995601" w:rsidRDefault="00765E09" w:rsidP="00765E09">
            <w:pPr>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Mean ± SD</w:t>
            </w:r>
          </w:p>
        </w:tc>
        <w:tc>
          <w:tcPr>
            <w:tcW w:w="795" w:type="dxa"/>
            <w:tcBorders>
              <w:top w:val="single" w:sz="2" w:space="0" w:color="auto"/>
              <w:left w:val="single" w:sz="2" w:space="0" w:color="auto"/>
              <w:bottom w:val="thinThickSmallGap" w:sz="12" w:space="0" w:color="auto"/>
              <w:right w:val="thinThickSmallGap" w:sz="12" w:space="0" w:color="auto"/>
            </w:tcBorders>
            <w:shd w:val="clear" w:color="auto" w:fill="FFFFFF"/>
            <w:vAlign w:val="center"/>
          </w:tcPr>
          <w:p w:rsidR="00765E09" w:rsidRPr="00995601" w:rsidRDefault="00765E09" w:rsidP="00765E09">
            <w:pPr>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 of change</w:t>
            </w:r>
          </w:p>
        </w:tc>
        <w:tc>
          <w:tcPr>
            <w:tcW w:w="955" w:type="dxa"/>
            <w:tcBorders>
              <w:top w:val="single" w:sz="2" w:space="0" w:color="auto"/>
              <w:left w:val="thinThickSmallGap" w:sz="12" w:space="0" w:color="auto"/>
              <w:bottom w:val="thinThickSmallGap" w:sz="12" w:space="0" w:color="auto"/>
              <w:right w:val="single" w:sz="2" w:space="0" w:color="auto"/>
            </w:tcBorders>
            <w:shd w:val="clear" w:color="auto" w:fill="FFFFFF" w:themeFill="background1"/>
            <w:vAlign w:val="center"/>
          </w:tcPr>
          <w:p w:rsidR="00765E09" w:rsidRPr="00995601" w:rsidRDefault="00765E09" w:rsidP="00765E09">
            <w:pPr>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Mean ± SD</w:t>
            </w:r>
          </w:p>
        </w:tc>
        <w:tc>
          <w:tcPr>
            <w:tcW w:w="956" w:type="dxa"/>
            <w:tcBorders>
              <w:top w:val="single" w:sz="2" w:space="0" w:color="auto"/>
              <w:left w:val="single" w:sz="2" w:space="0" w:color="auto"/>
              <w:bottom w:val="thinThickSmallGap" w:sz="12" w:space="0" w:color="auto"/>
              <w:right w:val="thinThickSmallGap" w:sz="12" w:space="0" w:color="auto"/>
            </w:tcBorders>
            <w:shd w:val="clear" w:color="auto" w:fill="FFFFFF"/>
            <w:vAlign w:val="center"/>
          </w:tcPr>
          <w:p w:rsidR="00765E09" w:rsidRPr="00995601" w:rsidRDefault="00765E09" w:rsidP="00765E09">
            <w:pPr>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 of change</w:t>
            </w:r>
          </w:p>
        </w:tc>
        <w:tc>
          <w:tcPr>
            <w:tcW w:w="955" w:type="dxa"/>
            <w:tcBorders>
              <w:top w:val="single" w:sz="2" w:space="0" w:color="auto"/>
              <w:left w:val="thinThickSmallGap" w:sz="12" w:space="0" w:color="auto"/>
              <w:bottom w:val="thinThickSmallGap" w:sz="12" w:space="0" w:color="auto"/>
              <w:right w:val="single" w:sz="2" w:space="0" w:color="auto"/>
            </w:tcBorders>
            <w:shd w:val="clear" w:color="auto" w:fill="FFFFFF" w:themeFill="background1"/>
            <w:vAlign w:val="center"/>
          </w:tcPr>
          <w:p w:rsidR="00765E09" w:rsidRPr="00995601" w:rsidRDefault="00765E09" w:rsidP="00765E09">
            <w:pPr>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Mean ± SD</w:t>
            </w:r>
          </w:p>
        </w:tc>
        <w:tc>
          <w:tcPr>
            <w:tcW w:w="800" w:type="dxa"/>
            <w:tcBorders>
              <w:top w:val="single" w:sz="2" w:space="0" w:color="auto"/>
              <w:left w:val="single" w:sz="2" w:space="0" w:color="auto"/>
              <w:bottom w:val="thinThickSmallGap" w:sz="12" w:space="0" w:color="auto"/>
              <w:right w:val="thinThickSmallGap" w:sz="12" w:space="0" w:color="auto"/>
            </w:tcBorders>
            <w:shd w:val="clear" w:color="auto" w:fill="FFFFFF"/>
            <w:vAlign w:val="center"/>
          </w:tcPr>
          <w:p w:rsidR="00765E09" w:rsidRPr="00995601" w:rsidRDefault="00765E09" w:rsidP="00765E09">
            <w:pPr>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 of change</w:t>
            </w:r>
          </w:p>
        </w:tc>
      </w:tr>
      <w:tr w:rsidR="00765E09" w:rsidRPr="00A63278" w:rsidTr="00995601">
        <w:trPr>
          <w:trHeight w:hRule="exact" w:val="257"/>
        </w:trPr>
        <w:tc>
          <w:tcPr>
            <w:tcW w:w="860" w:type="dxa"/>
            <w:tcBorders>
              <w:top w:val="thinThickSmallGap" w:sz="12" w:space="0" w:color="auto"/>
              <w:left w:val="thinThickSmallGap" w:sz="12" w:space="0" w:color="auto"/>
              <w:bottom w:val="single" w:sz="2" w:space="0" w:color="auto"/>
              <w:right w:val="thinThickSmallGap" w:sz="12" w:space="0" w:color="auto"/>
            </w:tcBorders>
            <w:shd w:val="pct5" w:color="auto" w:fill="FFFFFF" w:themeFill="background1"/>
            <w:vAlign w:val="center"/>
          </w:tcPr>
          <w:p w:rsidR="00765E09" w:rsidRPr="00A63278" w:rsidRDefault="00765E09" w:rsidP="00765E09">
            <w:pPr>
              <w:bidi w:val="0"/>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C</w:t>
            </w:r>
          </w:p>
        </w:tc>
        <w:tc>
          <w:tcPr>
            <w:tcW w:w="1491" w:type="dxa"/>
            <w:tcBorders>
              <w:top w:val="thinThickSmallGap" w:sz="12" w:space="0" w:color="auto"/>
              <w:left w:val="thinThickSmallGap" w:sz="12" w:space="0" w:color="auto"/>
              <w:bottom w:val="single" w:sz="2" w:space="0" w:color="auto"/>
              <w:right w:val="single" w:sz="2" w:space="0" w:color="auto"/>
            </w:tcBorders>
            <w:shd w:val="clear" w:color="auto" w:fill="FFFFFF" w:themeFill="background1"/>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29</w:t>
            </w:r>
          </w:p>
        </w:tc>
        <w:tc>
          <w:tcPr>
            <w:tcW w:w="954" w:type="dxa"/>
            <w:tcBorders>
              <w:top w:val="thinThickSmallGap" w:sz="12" w:space="0" w:color="auto"/>
              <w:left w:val="single" w:sz="2" w:space="0" w:color="auto"/>
              <w:bottom w:val="single" w:sz="2" w:space="0" w:color="auto"/>
              <w:right w:val="single" w:sz="2" w:space="0" w:color="auto"/>
            </w:tcBorders>
            <w:shd w:val="clear" w:color="auto" w:fill="FFFFFF" w:themeFill="background1"/>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33.6 ± 0.42</w:t>
            </w:r>
          </w:p>
        </w:tc>
        <w:tc>
          <w:tcPr>
            <w:tcW w:w="797" w:type="dxa"/>
            <w:tcBorders>
              <w:top w:val="thinThickSmallGap" w:sz="12" w:space="0" w:color="auto"/>
              <w:left w:val="single" w:sz="2" w:space="0" w:color="auto"/>
              <w:bottom w:val="single" w:sz="2" w:space="0" w:color="auto"/>
              <w:right w:val="thinThickSmallGap" w:sz="12" w:space="0" w:color="auto"/>
            </w:tcBorders>
            <w:shd w:val="clear" w:color="auto" w:fill="FFFFFF"/>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0</w:t>
            </w:r>
          </w:p>
        </w:tc>
        <w:tc>
          <w:tcPr>
            <w:tcW w:w="956" w:type="dxa"/>
            <w:tcBorders>
              <w:top w:val="thinThickSmallGap" w:sz="12" w:space="0" w:color="auto"/>
              <w:left w:val="thinThickSmallGap" w:sz="12" w:space="0" w:color="auto"/>
              <w:bottom w:val="single" w:sz="2" w:space="0" w:color="auto"/>
              <w:right w:val="single" w:sz="2" w:space="0" w:color="auto"/>
            </w:tcBorders>
            <w:shd w:val="clear" w:color="auto" w:fill="FFFFFF" w:themeFill="background1"/>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35.9 ± 1.22</w:t>
            </w:r>
          </w:p>
        </w:tc>
        <w:tc>
          <w:tcPr>
            <w:tcW w:w="795" w:type="dxa"/>
            <w:tcBorders>
              <w:top w:val="thinThickSmallGap" w:sz="12" w:space="0" w:color="auto"/>
              <w:left w:val="single" w:sz="2" w:space="0" w:color="auto"/>
              <w:bottom w:val="single" w:sz="2" w:space="0" w:color="auto"/>
              <w:right w:val="thinThickSmallGap" w:sz="12" w:space="0" w:color="auto"/>
            </w:tcBorders>
            <w:shd w:val="clear" w:color="auto" w:fill="FFFFFF"/>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6.9</w:t>
            </w:r>
          </w:p>
        </w:tc>
        <w:tc>
          <w:tcPr>
            <w:tcW w:w="955" w:type="dxa"/>
            <w:tcBorders>
              <w:top w:val="thinThickSmallGap" w:sz="12" w:space="0" w:color="auto"/>
              <w:left w:val="thinThickSmallGap" w:sz="12" w:space="0" w:color="auto"/>
              <w:bottom w:val="single" w:sz="2" w:space="0" w:color="auto"/>
              <w:right w:val="single" w:sz="2" w:space="0" w:color="auto"/>
            </w:tcBorders>
            <w:shd w:val="clear" w:color="auto" w:fill="FFFFFF" w:themeFill="background1"/>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39.6 ± 1.22</w:t>
            </w:r>
          </w:p>
        </w:tc>
        <w:tc>
          <w:tcPr>
            <w:tcW w:w="956" w:type="dxa"/>
            <w:tcBorders>
              <w:top w:val="thinThickSmallGap" w:sz="12" w:space="0" w:color="auto"/>
              <w:left w:val="single" w:sz="2" w:space="0" w:color="auto"/>
              <w:bottom w:val="single" w:sz="2" w:space="0" w:color="auto"/>
              <w:right w:val="thinThickSmallGap" w:sz="12" w:space="0" w:color="auto"/>
            </w:tcBorders>
            <w:shd w:val="clear" w:color="auto" w:fill="FFFFFF"/>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17.21</w:t>
            </w:r>
          </w:p>
        </w:tc>
        <w:tc>
          <w:tcPr>
            <w:tcW w:w="955" w:type="dxa"/>
            <w:tcBorders>
              <w:top w:val="thinThickSmallGap" w:sz="12" w:space="0" w:color="auto"/>
              <w:left w:val="thinThickSmallGap" w:sz="12" w:space="0" w:color="auto"/>
              <w:bottom w:val="single" w:sz="2" w:space="0" w:color="auto"/>
              <w:right w:val="single" w:sz="2" w:space="0" w:color="auto"/>
            </w:tcBorders>
            <w:shd w:val="clear" w:color="auto" w:fill="FFFFFF" w:themeFill="background1"/>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42.1 ± 1.22</w:t>
            </w:r>
          </w:p>
        </w:tc>
        <w:tc>
          <w:tcPr>
            <w:tcW w:w="800" w:type="dxa"/>
            <w:tcBorders>
              <w:top w:val="thinThickSmallGap" w:sz="12" w:space="0" w:color="auto"/>
              <w:left w:val="single" w:sz="2" w:space="0" w:color="auto"/>
              <w:bottom w:val="single" w:sz="2" w:space="0" w:color="auto"/>
              <w:right w:val="thinThickSmallGap" w:sz="12" w:space="0" w:color="auto"/>
            </w:tcBorders>
            <w:shd w:val="clear" w:color="auto" w:fill="FFFFFF"/>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25.3</w:t>
            </w:r>
          </w:p>
        </w:tc>
      </w:tr>
      <w:tr w:rsidR="00765E09" w:rsidRPr="00A63278" w:rsidTr="00995601">
        <w:trPr>
          <w:trHeight w:hRule="exact" w:val="257"/>
        </w:trPr>
        <w:tc>
          <w:tcPr>
            <w:tcW w:w="860" w:type="dxa"/>
            <w:tcBorders>
              <w:top w:val="single" w:sz="2" w:space="0" w:color="auto"/>
              <w:left w:val="thinThickSmallGap" w:sz="12" w:space="0" w:color="auto"/>
              <w:bottom w:val="single" w:sz="2" w:space="0" w:color="auto"/>
              <w:right w:val="thinThickSmallGap" w:sz="12" w:space="0" w:color="auto"/>
            </w:tcBorders>
            <w:shd w:val="pct5" w:color="auto" w:fill="FFFFFF" w:themeFill="background1"/>
            <w:vAlign w:val="center"/>
          </w:tcPr>
          <w:p w:rsidR="00765E09" w:rsidRPr="00A63278" w:rsidRDefault="00765E09" w:rsidP="00765E09">
            <w:pPr>
              <w:bidi w:val="0"/>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G1</w:t>
            </w:r>
          </w:p>
        </w:tc>
        <w:tc>
          <w:tcPr>
            <w:tcW w:w="1491" w:type="dxa"/>
            <w:tcBorders>
              <w:top w:val="single" w:sz="2" w:space="0" w:color="auto"/>
              <w:left w:val="thinThickSmallGap" w:sz="12" w:space="0" w:color="auto"/>
              <w:bottom w:val="single" w:sz="2" w:space="0" w:color="auto"/>
              <w:right w:val="single" w:sz="2" w:space="0" w:color="auto"/>
            </w:tcBorders>
            <w:shd w:val="clear" w:color="auto" w:fill="FFFFFF" w:themeFill="background1"/>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20</w:t>
            </w:r>
          </w:p>
        </w:tc>
        <w:tc>
          <w:tcPr>
            <w:tcW w:w="95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28.4 ± 0.75</w:t>
            </w:r>
          </w:p>
        </w:tc>
        <w:tc>
          <w:tcPr>
            <w:tcW w:w="797" w:type="dxa"/>
            <w:tcBorders>
              <w:top w:val="single" w:sz="2" w:space="0" w:color="auto"/>
              <w:left w:val="single" w:sz="2" w:space="0" w:color="auto"/>
              <w:bottom w:val="single" w:sz="2" w:space="0" w:color="auto"/>
              <w:right w:val="thinThickSmallGap" w:sz="12" w:space="0" w:color="auto"/>
            </w:tcBorders>
            <w:shd w:val="clear" w:color="auto" w:fill="FFFFFF"/>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0</w:t>
            </w:r>
          </w:p>
        </w:tc>
        <w:tc>
          <w:tcPr>
            <w:tcW w:w="956" w:type="dxa"/>
            <w:tcBorders>
              <w:top w:val="single" w:sz="2" w:space="0" w:color="auto"/>
              <w:left w:val="thinThickSmallGap" w:sz="12" w:space="0" w:color="auto"/>
              <w:bottom w:val="single" w:sz="2" w:space="0" w:color="auto"/>
              <w:right w:val="single" w:sz="2" w:space="0" w:color="auto"/>
            </w:tcBorders>
            <w:shd w:val="clear" w:color="auto" w:fill="FFFFFF" w:themeFill="background1"/>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30.9 ± 2.04</w:t>
            </w:r>
          </w:p>
        </w:tc>
        <w:tc>
          <w:tcPr>
            <w:tcW w:w="795" w:type="dxa"/>
            <w:tcBorders>
              <w:top w:val="single" w:sz="2" w:space="0" w:color="auto"/>
              <w:left w:val="single" w:sz="2" w:space="0" w:color="auto"/>
              <w:bottom w:val="single" w:sz="2" w:space="0" w:color="auto"/>
              <w:right w:val="thinThickSmallGap" w:sz="12" w:space="0" w:color="auto"/>
            </w:tcBorders>
            <w:shd w:val="clear" w:color="auto" w:fill="FFFFFF"/>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8.8</w:t>
            </w:r>
          </w:p>
        </w:tc>
        <w:tc>
          <w:tcPr>
            <w:tcW w:w="955" w:type="dxa"/>
            <w:tcBorders>
              <w:top w:val="single" w:sz="2" w:space="0" w:color="auto"/>
              <w:left w:val="thinThickSmallGap" w:sz="12" w:space="0" w:color="auto"/>
              <w:bottom w:val="single" w:sz="2" w:space="0" w:color="auto"/>
              <w:right w:val="single" w:sz="2" w:space="0" w:color="auto"/>
            </w:tcBorders>
            <w:shd w:val="clear" w:color="auto" w:fill="FFFFFF" w:themeFill="background1"/>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32.3 ± 2.04</w:t>
            </w:r>
          </w:p>
        </w:tc>
        <w:tc>
          <w:tcPr>
            <w:tcW w:w="956" w:type="dxa"/>
            <w:tcBorders>
              <w:top w:val="single" w:sz="2" w:space="0" w:color="auto"/>
              <w:left w:val="single" w:sz="2" w:space="0" w:color="auto"/>
              <w:bottom w:val="single" w:sz="2" w:space="0" w:color="auto"/>
              <w:right w:val="thinThickSmallGap" w:sz="12" w:space="0" w:color="auto"/>
            </w:tcBorders>
            <w:shd w:val="clear" w:color="auto" w:fill="FFFFFF"/>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13.3</w:t>
            </w:r>
          </w:p>
        </w:tc>
        <w:tc>
          <w:tcPr>
            <w:tcW w:w="955" w:type="dxa"/>
            <w:tcBorders>
              <w:top w:val="single" w:sz="2" w:space="0" w:color="auto"/>
              <w:left w:val="thinThickSmallGap" w:sz="12" w:space="0" w:color="auto"/>
              <w:bottom w:val="single" w:sz="2" w:space="0" w:color="auto"/>
              <w:right w:val="single" w:sz="2" w:space="0" w:color="auto"/>
            </w:tcBorders>
            <w:shd w:val="clear" w:color="auto" w:fill="FFFFFF" w:themeFill="background1"/>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33.2 ± 2.04</w:t>
            </w:r>
          </w:p>
        </w:tc>
        <w:tc>
          <w:tcPr>
            <w:tcW w:w="800" w:type="dxa"/>
            <w:tcBorders>
              <w:top w:val="single" w:sz="2" w:space="0" w:color="auto"/>
              <w:left w:val="single" w:sz="2" w:space="0" w:color="auto"/>
              <w:bottom w:val="single" w:sz="2" w:space="0" w:color="auto"/>
              <w:right w:val="thinThickSmallGap" w:sz="12" w:space="0" w:color="auto"/>
            </w:tcBorders>
            <w:shd w:val="clear" w:color="auto" w:fill="FFFFFF"/>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16.55</w:t>
            </w:r>
          </w:p>
        </w:tc>
      </w:tr>
      <w:tr w:rsidR="00765E09" w:rsidRPr="00A63278" w:rsidTr="00995601">
        <w:trPr>
          <w:trHeight w:hRule="exact" w:val="257"/>
        </w:trPr>
        <w:tc>
          <w:tcPr>
            <w:tcW w:w="860" w:type="dxa"/>
            <w:tcBorders>
              <w:top w:val="single" w:sz="2" w:space="0" w:color="auto"/>
              <w:left w:val="thinThickSmallGap" w:sz="12" w:space="0" w:color="auto"/>
              <w:bottom w:val="thinThickSmallGap" w:sz="12" w:space="0" w:color="auto"/>
              <w:right w:val="thinThickSmallGap" w:sz="12" w:space="0" w:color="auto"/>
            </w:tcBorders>
            <w:shd w:val="pct5" w:color="auto" w:fill="FFFFFF" w:themeFill="background1"/>
            <w:vAlign w:val="center"/>
          </w:tcPr>
          <w:p w:rsidR="00765E09" w:rsidRPr="00A63278" w:rsidRDefault="00765E09" w:rsidP="00765E09">
            <w:pPr>
              <w:bidi w:val="0"/>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G2</w:t>
            </w:r>
          </w:p>
        </w:tc>
        <w:tc>
          <w:tcPr>
            <w:tcW w:w="1491" w:type="dxa"/>
            <w:tcBorders>
              <w:top w:val="single" w:sz="2" w:space="0" w:color="auto"/>
              <w:left w:val="thinThickSmallGap" w:sz="12" w:space="0" w:color="auto"/>
              <w:bottom w:val="thinThickSmallGap" w:sz="12" w:space="0" w:color="auto"/>
              <w:right w:val="single" w:sz="2" w:space="0" w:color="auto"/>
            </w:tcBorders>
            <w:shd w:val="clear" w:color="auto" w:fill="FFFFFF" w:themeFill="background1"/>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12</w:t>
            </w:r>
          </w:p>
        </w:tc>
        <w:tc>
          <w:tcPr>
            <w:tcW w:w="954" w:type="dxa"/>
            <w:tcBorders>
              <w:top w:val="single" w:sz="2" w:space="0" w:color="auto"/>
              <w:left w:val="single" w:sz="2" w:space="0" w:color="auto"/>
              <w:bottom w:val="thinThickSmallGap" w:sz="12" w:space="0" w:color="auto"/>
              <w:right w:val="single" w:sz="2" w:space="0" w:color="auto"/>
            </w:tcBorders>
            <w:shd w:val="clear" w:color="auto" w:fill="FFFFFF" w:themeFill="background1"/>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26.1 ± 0.85</w:t>
            </w:r>
          </w:p>
        </w:tc>
        <w:tc>
          <w:tcPr>
            <w:tcW w:w="797" w:type="dxa"/>
            <w:tcBorders>
              <w:top w:val="single" w:sz="2" w:space="0" w:color="auto"/>
              <w:left w:val="single" w:sz="2" w:space="0" w:color="auto"/>
              <w:bottom w:val="thinThickSmallGap" w:sz="12" w:space="0" w:color="auto"/>
              <w:right w:val="thinThickSmallGap" w:sz="12" w:space="0" w:color="auto"/>
            </w:tcBorders>
            <w:shd w:val="clear" w:color="auto" w:fill="FFFFFF"/>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0</w:t>
            </w:r>
          </w:p>
        </w:tc>
        <w:tc>
          <w:tcPr>
            <w:tcW w:w="956" w:type="dxa"/>
            <w:tcBorders>
              <w:top w:val="single" w:sz="2" w:space="0" w:color="auto"/>
              <w:left w:val="thinThickSmallGap" w:sz="12" w:space="0" w:color="auto"/>
              <w:bottom w:val="thinThickSmallGap" w:sz="12" w:space="0" w:color="auto"/>
              <w:right w:val="single" w:sz="2" w:space="0" w:color="auto"/>
            </w:tcBorders>
            <w:shd w:val="clear" w:color="auto" w:fill="FFFFFF" w:themeFill="background1"/>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27.2 ± 2.01</w:t>
            </w:r>
          </w:p>
        </w:tc>
        <w:tc>
          <w:tcPr>
            <w:tcW w:w="795" w:type="dxa"/>
            <w:tcBorders>
              <w:top w:val="single" w:sz="2" w:space="0" w:color="auto"/>
              <w:left w:val="single" w:sz="2" w:space="0" w:color="auto"/>
              <w:bottom w:val="thinThickSmallGap" w:sz="12" w:space="0" w:color="auto"/>
              <w:right w:val="thinThickSmallGap" w:sz="12" w:space="0" w:color="auto"/>
            </w:tcBorders>
            <w:shd w:val="clear" w:color="auto" w:fill="FFFFFF"/>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4.2</w:t>
            </w:r>
          </w:p>
        </w:tc>
        <w:tc>
          <w:tcPr>
            <w:tcW w:w="955" w:type="dxa"/>
            <w:tcBorders>
              <w:top w:val="single" w:sz="2" w:space="0" w:color="auto"/>
              <w:left w:val="thinThickSmallGap" w:sz="12" w:space="0" w:color="auto"/>
              <w:bottom w:val="thinThickSmallGap" w:sz="12" w:space="0" w:color="auto"/>
              <w:right w:val="single" w:sz="2" w:space="0" w:color="auto"/>
            </w:tcBorders>
            <w:shd w:val="clear" w:color="auto" w:fill="FFFFFF" w:themeFill="background1"/>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28.4 ± 2.01</w:t>
            </w:r>
          </w:p>
        </w:tc>
        <w:tc>
          <w:tcPr>
            <w:tcW w:w="956" w:type="dxa"/>
            <w:tcBorders>
              <w:top w:val="single" w:sz="2" w:space="0" w:color="auto"/>
              <w:left w:val="single" w:sz="2" w:space="0" w:color="auto"/>
              <w:bottom w:val="thinThickSmallGap" w:sz="12" w:space="0" w:color="auto"/>
              <w:right w:val="thinThickSmallGap" w:sz="12" w:space="0" w:color="auto"/>
            </w:tcBorders>
            <w:shd w:val="clear" w:color="auto" w:fill="FFFFFF"/>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8.6</w:t>
            </w:r>
          </w:p>
        </w:tc>
        <w:tc>
          <w:tcPr>
            <w:tcW w:w="955" w:type="dxa"/>
            <w:tcBorders>
              <w:top w:val="single" w:sz="2" w:space="0" w:color="auto"/>
              <w:left w:val="thinThickSmallGap" w:sz="12" w:space="0" w:color="auto"/>
              <w:bottom w:val="thinThickSmallGap" w:sz="12" w:space="0" w:color="auto"/>
              <w:right w:val="single" w:sz="2" w:space="0" w:color="auto"/>
            </w:tcBorders>
            <w:shd w:val="clear" w:color="auto" w:fill="FFFFFF" w:themeFill="background1"/>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29.5 ± 2.01</w:t>
            </w:r>
          </w:p>
        </w:tc>
        <w:tc>
          <w:tcPr>
            <w:tcW w:w="800" w:type="dxa"/>
            <w:tcBorders>
              <w:top w:val="single" w:sz="2" w:space="0" w:color="auto"/>
              <w:left w:val="single" w:sz="2" w:space="0" w:color="auto"/>
              <w:bottom w:val="thinThickSmallGap" w:sz="12" w:space="0" w:color="auto"/>
              <w:right w:val="thinThickSmallGap" w:sz="12" w:space="0" w:color="auto"/>
            </w:tcBorders>
            <w:shd w:val="clear" w:color="auto" w:fill="FFFFFF"/>
            <w:vAlign w:val="center"/>
          </w:tcPr>
          <w:p w:rsidR="00765E09" w:rsidRPr="00A63278" w:rsidRDefault="00765E09" w:rsidP="00995601">
            <w:pPr>
              <w:bidi w:val="0"/>
              <w:jc w:val="center"/>
              <w:rPr>
                <w:rFonts w:asciiTheme="majorBidi" w:hAnsiTheme="majorBidi" w:cstheme="majorBidi"/>
                <w:sz w:val="16"/>
                <w:szCs w:val="16"/>
                <w:lang w:bidi="ar-IQ"/>
              </w:rPr>
            </w:pPr>
            <w:r w:rsidRPr="00A63278">
              <w:rPr>
                <w:rFonts w:asciiTheme="majorBidi" w:hAnsiTheme="majorBidi" w:cstheme="majorBidi"/>
                <w:sz w:val="16"/>
                <w:szCs w:val="16"/>
                <w:lang w:bidi="ar-IQ"/>
              </w:rPr>
              <w:t>12.5</w:t>
            </w:r>
          </w:p>
        </w:tc>
      </w:tr>
    </w:tbl>
    <w:p w:rsidR="005E3D90" w:rsidRPr="00765E09" w:rsidRDefault="005E3D90" w:rsidP="00765E09">
      <w:pPr>
        <w:bidi w:val="0"/>
        <w:rPr>
          <w:rFonts w:asciiTheme="majorBidi" w:hAnsiTheme="majorBidi" w:cstheme="majorBidi"/>
          <w:sz w:val="24"/>
          <w:szCs w:val="24"/>
        </w:rPr>
      </w:pPr>
    </w:p>
    <w:p w:rsidR="00A63278" w:rsidRPr="00A63278" w:rsidRDefault="005E3D90" w:rsidP="00A63278">
      <w:pPr>
        <w:tabs>
          <w:tab w:val="left" w:pos="2070"/>
        </w:tabs>
        <w:bidi w:val="0"/>
        <w:spacing w:before="240" w:line="360" w:lineRule="auto"/>
        <w:jc w:val="both"/>
        <w:rPr>
          <w:rFonts w:asciiTheme="majorBidi" w:hAnsiTheme="majorBidi" w:cstheme="majorBidi"/>
          <w:noProof/>
          <w:sz w:val="24"/>
          <w:szCs w:val="24"/>
        </w:rPr>
      </w:pPr>
      <w:r w:rsidRPr="005E3D90">
        <w:rPr>
          <w:rStyle w:val="PageNumber"/>
          <w:rFonts w:asciiTheme="majorBidi" w:hAnsiTheme="majorBidi" w:cstheme="majorBidi"/>
          <w:noProof/>
          <w:sz w:val="24"/>
          <w:szCs w:val="24"/>
        </w:rPr>
        <w:drawing>
          <wp:inline distT="0" distB="0" distL="0" distR="0">
            <wp:extent cx="5229860" cy="1943100"/>
            <wp:effectExtent l="19050" t="0" r="27940" b="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E3D90" w:rsidRPr="00A63278" w:rsidRDefault="005E3D90" w:rsidP="00A63278">
      <w:pPr>
        <w:tabs>
          <w:tab w:val="right" w:pos="900"/>
        </w:tabs>
        <w:autoSpaceDE w:val="0"/>
        <w:autoSpaceDN w:val="0"/>
        <w:bidi w:val="0"/>
        <w:adjustRightInd w:val="0"/>
        <w:spacing w:before="240" w:line="360" w:lineRule="auto"/>
        <w:jc w:val="both"/>
        <w:rPr>
          <w:rFonts w:asciiTheme="majorBidi" w:hAnsiTheme="majorBidi" w:cstheme="majorBidi"/>
          <w:b/>
          <w:bCs/>
          <w:sz w:val="16"/>
          <w:szCs w:val="16"/>
        </w:rPr>
      </w:pPr>
      <w:r w:rsidRPr="00A63278">
        <w:rPr>
          <w:rFonts w:asciiTheme="majorBidi" w:hAnsiTheme="majorBidi" w:cstheme="majorBidi"/>
          <w:b/>
          <w:bCs/>
          <w:sz w:val="16"/>
          <w:szCs w:val="16"/>
        </w:rPr>
        <w:t>Fig. 1: Body weight change for non-pregnant and pregnant control and treated females with TCE.</w:t>
      </w:r>
    </w:p>
    <w:p w:rsidR="005E3D90" w:rsidRPr="005E3D90" w:rsidRDefault="005E3D90" w:rsidP="00A63278">
      <w:pPr>
        <w:tabs>
          <w:tab w:val="right" w:pos="900"/>
        </w:tabs>
        <w:autoSpaceDE w:val="0"/>
        <w:autoSpaceDN w:val="0"/>
        <w:bidi w:val="0"/>
        <w:adjustRightInd w:val="0"/>
        <w:spacing w:before="240" w:line="360" w:lineRule="auto"/>
        <w:jc w:val="both"/>
        <w:rPr>
          <w:rFonts w:asciiTheme="majorBidi" w:hAnsiTheme="majorBidi" w:cstheme="majorBidi"/>
          <w:b/>
          <w:bCs/>
          <w:sz w:val="24"/>
          <w:szCs w:val="24"/>
        </w:rPr>
      </w:pPr>
      <w:r w:rsidRPr="005E3D90">
        <w:rPr>
          <w:rFonts w:asciiTheme="majorBidi" w:hAnsiTheme="majorBidi" w:cstheme="majorBidi"/>
          <w:b/>
          <w:bCs/>
          <w:sz w:val="24"/>
          <w:szCs w:val="24"/>
        </w:rPr>
        <w:t xml:space="preserve">1.2. Percentage of survival of non-pregnant and pregnant treated females: </w:t>
      </w:r>
    </w:p>
    <w:p w:rsidR="0097660E" w:rsidRDefault="005E3D90" w:rsidP="0097660E">
      <w:pPr>
        <w:tabs>
          <w:tab w:val="right" w:pos="900"/>
        </w:tabs>
        <w:autoSpaceDE w:val="0"/>
        <w:autoSpaceDN w:val="0"/>
        <w:bidi w:val="0"/>
        <w:adjustRightInd w:val="0"/>
        <w:spacing w:before="240" w:line="360" w:lineRule="auto"/>
        <w:jc w:val="both"/>
        <w:rPr>
          <w:rFonts w:asciiTheme="majorBidi" w:hAnsiTheme="majorBidi" w:cstheme="majorBidi"/>
          <w:b/>
          <w:bCs/>
          <w:sz w:val="16"/>
          <w:szCs w:val="16"/>
        </w:rPr>
      </w:pPr>
      <w:r w:rsidRPr="005E3D90">
        <w:rPr>
          <w:rStyle w:val="PageNumber"/>
          <w:rFonts w:asciiTheme="majorBidi" w:hAnsiTheme="majorBidi" w:cstheme="majorBidi"/>
          <w:noProof/>
          <w:sz w:val="24"/>
          <w:szCs w:val="24"/>
        </w:rPr>
        <w:t xml:space="preserve">Table 3 and figure 2 illustrate that the percent of survival for control, G1 and G2 group was 100%, 90% and 76.7%, respectively at the end of the treatment period before mating. One female died from group G1 on the seconed week and two females died on the third week. While, five females died from G2, one on the first week and four females on the second and </w:t>
      </w:r>
      <w:r w:rsidRPr="005E3D90">
        <w:rPr>
          <w:rStyle w:val="PageNumber"/>
          <w:rFonts w:asciiTheme="majorBidi" w:hAnsiTheme="majorBidi" w:cstheme="majorBidi"/>
          <w:noProof/>
          <w:sz w:val="24"/>
          <w:szCs w:val="24"/>
        </w:rPr>
        <w:lastRenderedPageBreak/>
        <w:t>third weeks (two females for each week). At the end of the treatment period the percent of survival of females treated with the high dose of TCE (240 mg/kg b.w.) were significantly decreased in contrast with the control group. In addition, the percent of survival of pregnant females of the control group on day 18 of gestation was 100%. However,the percent of survival of the treated groups (G1 and G2) was d</w:t>
      </w:r>
      <w:r w:rsidR="0097660E">
        <w:rPr>
          <w:rStyle w:val="PageNumber"/>
          <w:rFonts w:asciiTheme="majorBidi" w:hAnsiTheme="majorBidi" w:cstheme="majorBidi"/>
          <w:noProof/>
          <w:sz w:val="24"/>
          <w:szCs w:val="24"/>
        </w:rPr>
        <w:t>ecreased to 95.2% and 85.7%,</w:t>
      </w:r>
      <w:r w:rsidR="0097660E" w:rsidRPr="0097660E">
        <w:rPr>
          <w:rStyle w:val="PageNumber"/>
          <w:rFonts w:asciiTheme="majorBidi" w:hAnsiTheme="majorBidi" w:cstheme="majorBidi"/>
          <w:noProof/>
          <w:sz w:val="24"/>
          <w:szCs w:val="24"/>
        </w:rPr>
        <w:t xml:space="preserve"> </w:t>
      </w:r>
      <w:r w:rsidR="0097660E" w:rsidRPr="005E3D90">
        <w:rPr>
          <w:rStyle w:val="PageNumber"/>
          <w:rFonts w:asciiTheme="majorBidi" w:hAnsiTheme="majorBidi" w:cstheme="majorBidi"/>
          <w:noProof/>
          <w:sz w:val="24"/>
          <w:szCs w:val="24"/>
        </w:rPr>
        <w:t>respectively (Table 3 and Fig. 2).</w:t>
      </w:r>
      <w:r w:rsidR="0097660E" w:rsidRPr="0097660E">
        <w:rPr>
          <w:rFonts w:asciiTheme="majorBidi" w:hAnsiTheme="majorBidi" w:cstheme="majorBidi"/>
          <w:b/>
          <w:bCs/>
          <w:sz w:val="16"/>
          <w:szCs w:val="16"/>
        </w:rPr>
        <w:t xml:space="preserve"> </w:t>
      </w:r>
    </w:p>
    <w:p w:rsidR="0097660E" w:rsidRPr="0097660E" w:rsidRDefault="0097660E" w:rsidP="0097660E">
      <w:pPr>
        <w:tabs>
          <w:tab w:val="right" w:pos="900"/>
        </w:tabs>
        <w:autoSpaceDE w:val="0"/>
        <w:autoSpaceDN w:val="0"/>
        <w:bidi w:val="0"/>
        <w:adjustRightInd w:val="0"/>
        <w:spacing w:before="240" w:line="360" w:lineRule="auto"/>
        <w:jc w:val="both"/>
        <w:rPr>
          <w:rStyle w:val="PageNumber"/>
          <w:rFonts w:asciiTheme="majorBidi" w:hAnsiTheme="majorBidi" w:cstheme="majorBidi"/>
          <w:b/>
          <w:bCs/>
          <w:sz w:val="16"/>
          <w:szCs w:val="16"/>
        </w:rPr>
      </w:pPr>
      <w:proofErr w:type="gramStart"/>
      <w:r w:rsidRPr="00995601">
        <w:rPr>
          <w:rFonts w:asciiTheme="majorBidi" w:hAnsiTheme="majorBidi" w:cstheme="majorBidi"/>
          <w:b/>
          <w:bCs/>
          <w:sz w:val="16"/>
          <w:szCs w:val="16"/>
        </w:rPr>
        <w:t>Table 3: The percentage of survival and mating of control and treated females with TCE.</w:t>
      </w:r>
      <w:proofErr w:type="gramEnd"/>
    </w:p>
    <w:tbl>
      <w:tblPr>
        <w:tblStyle w:val="TableGrid"/>
        <w:tblpPr w:leftFromText="180" w:rightFromText="180" w:vertAnchor="page" w:horzAnchor="margin" w:tblpY="4681"/>
        <w:tblW w:w="9197" w:type="dxa"/>
        <w:tblLayout w:type="fixed"/>
        <w:tblLook w:val="04A0"/>
      </w:tblPr>
      <w:tblGrid>
        <w:gridCol w:w="753"/>
        <w:gridCol w:w="490"/>
        <w:gridCol w:w="721"/>
        <w:gridCol w:w="706"/>
        <w:gridCol w:w="740"/>
        <w:gridCol w:w="693"/>
        <w:gridCol w:w="754"/>
        <w:gridCol w:w="680"/>
        <w:gridCol w:w="598"/>
        <w:gridCol w:w="836"/>
        <w:gridCol w:w="780"/>
        <w:gridCol w:w="722"/>
        <w:gridCol w:w="724"/>
      </w:tblGrid>
      <w:tr w:rsidR="0097660E" w:rsidRPr="00A63278" w:rsidTr="0097660E">
        <w:trPr>
          <w:trHeight w:val="135"/>
        </w:trPr>
        <w:tc>
          <w:tcPr>
            <w:tcW w:w="6971" w:type="dxa"/>
            <w:gridSpan w:val="10"/>
            <w:tcBorders>
              <w:top w:val="thinThickSmallGap" w:sz="12" w:space="0" w:color="auto"/>
              <w:left w:val="thinThickSmallGap" w:sz="12" w:space="0" w:color="auto"/>
              <w:bottom w:val="thinThickSmallGap" w:sz="12" w:space="0" w:color="auto"/>
              <w:right w:val="thinThickSmallGap" w:sz="12" w:space="0" w:color="auto"/>
            </w:tcBorders>
            <w:shd w:val="pct5" w:color="auto" w:fill="auto"/>
            <w:vAlign w:val="center"/>
          </w:tcPr>
          <w:p w:rsidR="0097660E" w:rsidRPr="00A63278" w:rsidRDefault="0097660E" w:rsidP="0097660E">
            <w:pPr>
              <w:tabs>
                <w:tab w:val="left" w:pos="2795"/>
              </w:tabs>
              <w:bidi w:val="0"/>
              <w:spacing w:before="120"/>
              <w:jc w:val="both"/>
              <w:rPr>
                <w:rFonts w:asciiTheme="majorBidi" w:hAnsiTheme="majorBidi" w:cstheme="majorBidi"/>
                <w:b/>
                <w:bCs/>
                <w:sz w:val="16"/>
                <w:szCs w:val="16"/>
                <w:rtl/>
                <w:lang w:bidi="ar-EG"/>
              </w:rPr>
            </w:pPr>
            <w:r w:rsidRPr="00A63278">
              <w:rPr>
                <w:rFonts w:asciiTheme="majorBidi" w:hAnsiTheme="majorBidi" w:cstheme="majorBidi"/>
                <w:b/>
                <w:bCs/>
                <w:sz w:val="16"/>
                <w:szCs w:val="16"/>
                <w:lang w:bidi="ar-IQ"/>
              </w:rPr>
              <w:t>% of survival</w:t>
            </w:r>
          </w:p>
        </w:tc>
        <w:tc>
          <w:tcPr>
            <w:tcW w:w="2226" w:type="dxa"/>
            <w:gridSpan w:val="3"/>
            <w:vMerge w:val="restart"/>
            <w:tcBorders>
              <w:top w:val="thinThickSmallGap" w:sz="12" w:space="0" w:color="auto"/>
              <w:left w:val="thinThickSmallGap" w:sz="12" w:space="0" w:color="auto"/>
              <w:bottom w:val="thinThickSmallGap" w:sz="12" w:space="0" w:color="auto"/>
              <w:right w:val="thinThickSmallGap" w:sz="12" w:space="0" w:color="auto"/>
            </w:tcBorders>
            <w:shd w:val="pct5" w:color="auto" w:fill="auto"/>
            <w:vAlign w:val="center"/>
          </w:tcPr>
          <w:p w:rsidR="0097660E" w:rsidRPr="00A63278" w:rsidRDefault="0097660E" w:rsidP="0097660E">
            <w:pPr>
              <w:tabs>
                <w:tab w:val="left" w:pos="2795"/>
              </w:tabs>
              <w:bidi w:val="0"/>
              <w:spacing w:before="120"/>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 of mating</w:t>
            </w:r>
          </w:p>
        </w:tc>
      </w:tr>
      <w:tr w:rsidR="0097660E" w:rsidRPr="00A63278" w:rsidTr="0097660E">
        <w:trPr>
          <w:trHeight w:val="230"/>
        </w:trPr>
        <w:tc>
          <w:tcPr>
            <w:tcW w:w="753" w:type="dxa"/>
            <w:vMerge w:val="restart"/>
            <w:tcBorders>
              <w:top w:val="thinThickSmallGap" w:sz="12" w:space="0" w:color="auto"/>
              <w:left w:val="thinThickSmallGap" w:sz="12" w:space="0" w:color="auto"/>
              <w:right w:val="thinThickSmallGap" w:sz="12" w:space="0" w:color="auto"/>
            </w:tcBorders>
            <w:shd w:val="pct5" w:color="auto" w:fill="auto"/>
            <w:textDirection w:val="btLr"/>
          </w:tcPr>
          <w:p w:rsidR="0097660E" w:rsidRPr="00A63278" w:rsidRDefault="0097660E" w:rsidP="0097660E">
            <w:pPr>
              <w:tabs>
                <w:tab w:val="left" w:pos="2795"/>
              </w:tabs>
              <w:bidi w:val="0"/>
              <w:spacing w:before="120"/>
              <w:ind w:left="113" w:right="113"/>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Groups</w:t>
            </w:r>
          </w:p>
        </w:tc>
        <w:tc>
          <w:tcPr>
            <w:tcW w:w="4784" w:type="dxa"/>
            <w:gridSpan w:val="7"/>
            <w:tcBorders>
              <w:top w:val="thinThickSmallGap" w:sz="12" w:space="0" w:color="auto"/>
              <w:left w:val="thinThickSmallGap" w:sz="12" w:space="0" w:color="auto"/>
              <w:bottom w:val="thinThickSmallGap" w:sz="12" w:space="0" w:color="auto"/>
              <w:right w:val="thinThickSmallGap" w:sz="12" w:space="0" w:color="auto"/>
            </w:tcBorders>
          </w:tcPr>
          <w:p w:rsidR="0097660E" w:rsidRPr="00A63278" w:rsidRDefault="0097660E" w:rsidP="0097660E">
            <w:pPr>
              <w:tabs>
                <w:tab w:val="left" w:pos="2795"/>
              </w:tabs>
              <w:bidi w:val="0"/>
              <w:spacing w:before="120"/>
              <w:jc w:val="both"/>
              <w:rPr>
                <w:rFonts w:asciiTheme="majorBidi" w:hAnsiTheme="majorBidi" w:cstheme="majorBidi"/>
                <w:b/>
                <w:bCs/>
                <w:sz w:val="16"/>
                <w:szCs w:val="16"/>
                <w:rtl/>
                <w:lang w:bidi="ar-EG"/>
              </w:rPr>
            </w:pPr>
            <w:r w:rsidRPr="00A63278">
              <w:rPr>
                <w:rFonts w:asciiTheme="majorBidi" w:hAnsiTheme="majorBidi" w:cstheme="majorBidi"/>
                <w:b/>
                <w:bCs/>
                <w:sz w:val="16"/>
                <w:szCs w:val="16"/>
                <w:lang w:bidi="ar-IQ"/>
              </w:rPr>
              <w:t>Before mating (non-pregnant)</w:t>
            </w:r>
          </w:p>
        </w:tc>
        <w:tc>
          <w:tcPr>
            <w:tcW w:w="1434" w:type="dxa"/>
            <w:gridSpan w:val="2"/>
            <w:vMerge w:val="restart"/>
            <w:tcBorders>
              <w:top w:val="thinThickSmallGap" w:sz="12" w:space="0" w:color="auto"/>
              <w:left w:val="thinThickSmallGap" w:sz="12" w:space="0" w:color="auto"/>
              <w:right w:val="thinThickSmallGap" w:sz="12" w:space="0" w:color="auto"/>
            </w:tcBorders>
            <w:vAlign w:val="center"/>
          </w:tcPr>
          <w:p w:rsidR="0097660E" w:rsidRPr="00A63278" w:rsidRDefault="0097660E" w:rsidP="0097660E">
            <w:pPr>
              <w:tabs>
                <w:tab w:val="left" w:pos="2795"/>
              </w:tabs>
              <w:bidi w:val="0"/>
              <w:spacing w:before="120"/>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After mating (pregnant)</w:t>
            </w:r>
          </w:p>
        </w:tc>
        <w:tc>
          <w:tcPr>
            <w:tcW w:w="2226" w:type="dxa"/>
            <w:gridSpan w:val="3"/>
            <w:vMerge/>
            <w:tcBorders>
              <w:left w:val="thinThickSmallGap" w:sz="12" w:space="0" w:color="auto"/>
              <w:bottom w:val="thinThickSmallGap" w:sz="12" w:space="0" w:color="auto"/>
              <w:right w:val="thinThickSmallGap" w:sz="12" w:space="0" w:color="auto"/>
            </w:tcBorders>
            <w:shd w:val="pct5" w:color="auto" w:fill="auto"/>
            <w:vAlign w:val="center"/>
          </w:tcPr>
          <w:p w:rsidR="0097660E" w:rsidRPr="00A63278" w:rsidRDefault="0097660E" w:rsidP="0097660E">
            <w:pPr>
              <w:tabs>
                <w:tab w:val="left" w:pos="2795"/>
              </w:tabs>
              <w:bidi w:val="0"/>
              <w:spacing w:before="120"/>
              <w:jc w:val="both"/>
              <w:rPr>
                <w:rFonts w:asciiTheme="majorBidi" w:hAnsiTheme="majorBidi" w:cstheme="majorBidi"/>
                <w:b/>
                <w:bCs/>
                <w:sz w:val="16"/>
                <w:szCs w:val="16"/>
                <w:lang w:bidi="ar-IQ"/>
              </w:rPr>
            </w:pPr>
          </w:p>
        </w:tc>
      </w:tr>
      <w:tr w:rsidR="0097660E" w:rsidRPr="00A63278" w:rsidTr="0097660E">
        <w:trPr>
          <w:trHeight w:val="125"/>
        </w:trPr>
        <w:tc>
          <w:tcPr>
            <w:tcW w:w="753" w:type="dxa"/>
            <w:vMerge/>
            <w:tcBorders>
              <w:left w:val="thinThickSmallGap" w:sz="12" w:space="0" w:color="auto"/>
              <w:right w:val="thinThickSmallGap" w:sz="12" w:space="0" w:color="auto"/>
            </w:tcBorders>
            <w:shd w:val="pct5" w:color="auto" w:fill="auto"/>
            <w:vAlign w:val="center"/>
          </w:tcPr>
          <w:p w:rsidR="0097660E" w:rsidRPr="00A63278" w:rsidRDefault="0097660E" w:rsidP="0097660E">
            <w:pPr>
              <w:tabs>
                <w:tab w:val="left" w:pos="2795"/>
              </w:tabs>
              <w:bidi w:val="0"/>
              <w:spacing w:before="120"/>
              <w:jc w:val="both"/>
              <w:rPr>
                <w:rFonts w:asciiTheme="majorBidi" w:hAnsiTheme="majorBidi" w:cstheme="majorBidi"/>
                <w:b/>
                <w:bCs/>
                <w:sz w:val="16"/>
                <w:szCs w:val="16"/>
                <w:lang w:bidi="ar-IQ"/>
              </w:rPr>
            </w:pPr>
          </w:p>
        </w:tc>
        <w:tc>
          <w:tcPr>
            <w:tcW w:w="490" w:type="dxa"/>
            <w:vMerge w:val="restart"/>
            <w:tcBorders>
              <w:top w:val="thinThickSmallGap" w:sz="12" w:space="0" w:color="auto"/>
              <w:left w:val="thinThickSmallGap" w:sz="12" w:space="0" w:color="auto"/>
              <w:right w:val="thinThickSmallGap" w:sz="12" w:space="0" w:color="auto"/>
            </w:tcBorders>
            <w:textDirection w:val="btLr"/>
            <w:vAlign w:val="center"/>
          </w:tcPr>
          <w:p w:rsidR="0097660E" w:rsidRPr="00A63278" w:rsidRDefault="0097660E" w:rsidP="0097660E">
            <w:pPr>
              <w:bidi w:val="0"/>
              <w:ind w:left="113" w:right="113"/>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No. of females</w:t>
            </w:r>
          </w:p>
        </w:tc>
        <w:tc>
          <w:tcPr>
            <w:tcW w:w="1427" w:type="dxa"/>
            <w:gridSpan w:val="2"/>
            <w:tcBorders>
              <w:top w:val="thinThickSmallGap" w:sz="12" w:space="0" w:color="auto"/>
              <w:left w:val="thinThickSmallGap" w:sz="12" w:space="0" w:color="auto"/>
              <w:bottom w:val="thinThickSmallGap" w:sz="12" w:space="0" w:color="auto"/>
            </w:tcBorders>
          </w:tcPr>
          <w:p w:rsidR="0097660E" w:rsidRPr="00A63278" w:rsidRDefault="0097660E" w:rsidP="0097660E">
            <w:pPr>
              <w:bidi w:val="0"/>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1</w:t>
            </w:r>
            <w:r w:rsidRPr="00A63278">
              <w:rPr>
                <w:rFonts w:asciiTheme="majorBidi" w:hAnsiTheme="majorBidi" w:cstheme="majorBidi"/>
                <w:b/>
                <w:bCs/>
                <w:sz w:val="16"/>
                <w:szCs w:val="16"/>
                <w:vertAlign w:val="superscript"/>
                <w:lang w:bidi="ar-IQ"/>
              </w:rPr>
              <w:t xml:space="preserve">st   </w:t>
            </w:r>
            <w:r w:rsidRPr="00A63278">
              <w:rPr>
                <w:rFonts w:asciiTheme="majorBidi" w:hAnsiTheme="majorBidi" w:cstheme="majorBidi"/>
                <w:b/>
                <w:bCs/>
                <w:sz w:val="16"/>
                <w:szCs w:val="16"/>
                <w:lang w:bidi="ar-IQ"/>
              </w:rPr>
              <w:t xml:space="preserve"> week</w:t>
            </w:r>
          </w:p>
        </w:tc>
        <w:tc>
          <w:tcPr>
            <w:tcW w:w="1433" w:type="dxa"/>
            <w:gridSpan w:val="2"/>
            <w:tcBorders>
              <w:top w:val="thinThickSmallGap" w:sz="12" w:space="0" w:color="auto"/>
              <w:bottom w:val="thinThickSmallGap" w:sz="12" w:space="0" w:color="auto"/>
            </w:tcBorders>
          </w:tcPr>
          <w:p w:rsidR="0097660E" w:rsidRPr="00A63278" w:rsidRDefault="0097660E" w:rsidP="0097660E">
            <w:pPr>
              <w:bidi w:val="0"/>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2</w:t>
            </w:r>
            <w:r w:rsidRPr="00A63278">
              <w:rPr>
                <w:rFonts w:asciiTheme="majorBidi" w:hAnsiTheme="majorBidi" w:cstheme="majorBidi"/>
                <w:b/>
                <w:bCs/>
                <w:sz w:val="16"/>
                <w:szCs w:val="16"/>
                <w:vertAlign w:val="superscript"/>
                <w:lang w:bidi="ar-IQ"/>
              </w:rPr>
              <w:t>nd</w:t>
            </w:r>
            <w:r w:rsidRPr="00A63278">
              <w:rPr>
                <w:rFonts w:asciiTheme="majorBidi" w:hAnsiTheme="majorBidi" w:cstheme="majorBidi"/>
                <w:b/>
                <w:bCs/>
                <w:sz w:val="16"/>
                <w:szCs w:val="16"/>
                <w:lang w:bidi="ar-IQ"/>
              </w:rPr>
              <w:t xml:space="preserve">  week</w:t>
            </w:r>
          </w:p>
        </w:tc>
        <w:tc>
          <w:tcPr>
            <w:tcW w:w="1434" w:type="dxa"/>
            <w:gridSpan w:val="2"/>
            <w:tcBorders>
              <w:top w:val="thinThickSmallGap" w:sz="12" w:space="0" w:color="auto"/>
              <w:bottom w:val="thinThickSmallGap" w:sz="12" w:space="0" w:color="auto"/>
              <w:right w:val="thinThickSmallGap" w:sz="12" w:space="0" w:color="auto"/>
            </w:tcBorders>
          </w:tcPr>
          <w:p w:rsidR="0097660E" w:rsidRPr="00A63278" w:rsidRDefault="0097660E" w:rsidP="0097660E">
            <w:pPr>
              <w:bidi w:val="0"/>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3</w:t>
            </w:r>
            <w:r w:rsidRPr="00A63278">
              <w:rPr>
                <w:rFonts w:asciiTheme="majorBidi" w:hAnsiTheme="majorBidi" w:cstheme="majorBidi"/>
                <w:b/>
                <w:bCs/>
                <w:sz w:val="16"/>
                <w:szCs w:val="16"/>
                <w:vertAlign w:val="superscript"/>
                <w:lang w:bidi="ar-IQ"/>
              </w:rPr>
              <w:t>rd</w:t>
            </w:r>
            <w:r w:rsidRPr="00A63278">
              <w:rPr>
                <w:rFonts w:asciiTheme="majorBidi" w:hAnsiTheme="majorBidi" w:cstheme="majorBidi"/>
                <w:b/>
                <w:bCs/>
                <w:sz w:val="16"/>
                <w:szCs w:val="16"/>
                <w:lang w:bidi="ar-IQ"/>
              </w:rPr>
              <w:t xml:space="preserve">  week</w:t>
            </w:r>
          </w:p>
        </w:tc>
        <w:tc>
          <w:tcPr>
            <w:tcW w:w="1434" w:type="dxa"/>
            <w:gridSpan w:val="2"/>
            <w:vMerge/>
            <w:tcBorders>
              <w:left w:val="thinThickSmallGap" w:sz="12" w:space="0" w:color="auto"/>
              <w:bottom w:val="thinThickSmallGap" w:sz="12" w:space="0" w:color="auto"/>
              <w:right w:val="thinThickSmallGap" w:sz="12" w:space="0" w:color="auto"/>
            </w:tcBorders>
          </w:tcPr>
          <w:p w:rsidR="0097660E" w:rsidRPr="00A63278" w:rsidRDefault="0097660E" w:rsidP="0097660E">
            <w:pPr>
              <w:tabs>
                <w:tab w:val="left" w:pos="2795"/>
              </w:tabs>
              <w:bidi w:val="0"/>
              <w:spacing w:before="120"/>
              <w:jc w:val="both"/>
              <w:rPr>
                <w:rFonts w:asciiTheme="majorBidi" w:hAnsiTheme="majorBidi" w:cstheme="majorBidi"/>
                <w:b/>
                <w:bCs/>
                <w:sz w:val="16"/>
                <w:szCs w:val="16"/>
                <w:lang w:bidi="ar-IQ"/>
              </w:rPr>
            </w:pPr>
          </w:p>
        </w:tc>
        <w:tc>
          <w:tcPr>
            <w:tcW w:w="2226" w:type="dxa"/>
            <w:gridSpan w:val="3"/>
            <w:vMerge/>
            <w:tcBorders>
              <w:left w:val="thinThickSmallGap" w:sz="12" w:space="0" w:color="auto"/>
              <w:bottom w:val="thinThickSmallGap" w:sz="12" w:space="0" w:color="auto"/>
              <w:right w:val="thinThickSmallGap" w:sz="12" w:space="0" w:color="auto"/>
            </w:tcBorders>
            <w:shd w:val="pct5" w:color="auto" w:fill="auto"/>
          </w:tcPr>
          <w:p w:rsidR="0097660E" w:rsidRPr="00A63278" w:rsidRDefault="0097660E" w:rsidP="0097660E">
            <w:pPr>
              <w:tabs>
                <w:tab w:val="left" w:pos="2795"/>
              </w:tabs>
              <w:bidi w:val="0"/>
              <w:spacing w:before="120"/>
              <w:jc w:val="both"/>
              <w:rPr>
                <w:rFonts w:asciiTheme="majorBidi" w:hAnsiTheme="majorBidi" w:cstheme="majorBidi"/>
                <w:b/>
                <w:bCs/>
                <w:sz w:val="16"/>
                <w:szCs w:val="16"/>
                <w:lang w:bidi="ar-IQ"/>
              </w:rPr>
            </w:pPr>
          </w:p>
        </w:tc>
      </w:tr>
      <w:tr w:rsidR="0097660E" w:rsidRPr="00A63278" w:rsidTr="0097660E">
        <w:trPr>
          <w:trHeight w:val="696"/>
        </w:trPr>
        <w:tc>
          <w:tcPr>
            <w:tcW w:w="753" w:type="dxa"/>
            <w:vMerge/>
            <w:tcBorders>
              <w:left w:val="thinThickSmallGap" w:sz="12" w:space="0" w:color="auto"/>
              <w:bottom w:val="thinThickSmallGap" w:sz="12" w:space="0" w:color="auto"/>
              <w:right w:val="thinThickSmallGap" w:sz="12" w:space="0" w:color="auto"/>
            </w:tcBorders>
            <w:shd w:val="pct5" w:color="auto" w:fill="auto"/>
            <w:vAlign w:val="center"/>
          </w:tcPr>
          <w:p w:rsidR="0097660E" w:rsidRPr="00A63278" w:rsidRDefault="0097660E" w:rsidP="0097660E">
            <w:pPr>
              <w:tabs>
                <w:tab w:val="left" w:pos="2795"/>
              </w:tabs>
              <w:bidi w:val="0"/>
              <w:spacing w:before="120"/>
              <w:jc w:val="both"/>
              <w:rPr>
                <w:rFonts w:asciiTheme="majorBidi" w:hAnsiTheme="majorBidi" w:cstheme="majorBidi"/>
                <w:b/>
                <w:bCs/>
                <w:sz w:val="16"/>
                <w:szCs w:val="16"/>
                <w:lang w:bidi="ar-IQ"/>
              </w:rPr>
            </w:pPr>
          </w:p>
        </w:tc>
        <w:tc>
          <w:tcPr>
            <w:tcW w:w="490" w:type="dxa"/>
            <w:vMerge/>
            <w:tcBorders>
              <w:left w:val="thinThickSmallGap" w:sz="12" w:space="0" w:color="auto"/>
              <w:bottom w:val="thinThickSmallGap" w:sz="12" w:space="0" w:color="auto"/>
              <w:right w:val="thinThickSmallGap" w:sz="12" w:space="0" w:color="auto"/>
            </w:tcBorders>
          </w:tcPr>
          <w:p w:rsidR="0097660E" w:rsidRPr="00A63278" w:rsidRDefault="0097660E" w:rsidP="0097660E">
            <w:pPr>
              <w:tabs>
                <w:tab w:val="left" w:pos="2795"/>
              </w:tabs>
              <w:bidi w:val="0"/>
              <w:spacing w:before="120"/>
              <w:jc w:val="both"/>
              <w:rPr>
                <w:rFonts w:asciiTheme="majorBidi" w:hAnsiTheme="majorBidi" w:cstheme="majorBidi"/>
                <w:b/>
                <w:bCs/>
                <w:sz w:val="16"/>
                <w:szCs w:val="16"/>
                <w:lang w:bidi="ar-IQ"/>
              </w:rPr>
            </w:pPr>
          </w:p>
        </w:tc>
        <w:tc>
          <w:tcPr>
            <w:tcW w:w="721" w:type="dxa"/>
            <w:tcBorders>
              <w:top w:val="thinThickSmallGap" w:sz="12" w:space="0" w:color="auto"/>
              <w:left w:val="thinThickSmallGap" w:sz="12" w:space="0" w:color="auto"/>
              <w:bottom w:val="thinThickSmallGap" w:sz="12" w:space="0" w:color="auto"/>
            </w:tcBorders>
            <w:textDirection w:val="btLr"/>
            <w:vAlign w:val="center"/>
          </w:tcPr>
          <w:p w:rsidR="0097660E" w:rsidRPr="00A63278" w:rsidRDefault="0097660E" w:rsidP="0097660E">
            <w:pPr>
              <w:bidi w:val="0"/>
              <w:ind w:left="113" w:right="113"/>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No. of dead females</w:t>
            </w:r>
          </w:p>
        </w:tc>
        <w:tc>
          <w:tcPr>
            <w:tcW w:w="706" w:type="dxa"/>
            <w:tcBorders>
              <w:top w:val="thinThickSmallGap" w:sz="12" w:space="0" w:color="auto"/>
              <w:bottom w:val="thinThickSmallGap" w:sz="12" w:space="0" w:color="auto"/>
            </w:tcBorders>
            <w:textDirection w:val="btLr"/>
            <w:vAlign w:val="center"/>
          </w:tcPr>
          <w:p w:rsidR="0097660E" w:rsidRPr="00A63278" w:rsidRDefault="0097660E" w:rsidP="0097660E">
            <w:pPr>
              <w:bidi w:val="0"/>
              <w:ind w:left="113" w:right="113"/>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Percentage (%)</w:t>
            </w:r>
          </w:p>
        </w:tc>
        <w:tc>
          <w:tcPr>
            <w:tcW w:w="740" w:type="dxa"/>
            <w:tcBorders>
              <w:top w:val="thinThickSmallGap" w:sz="12" w:space="0" w:color="auto"/>
              <w:bottom w:val="thinThickSmallGap" w:sz="12" w:space="0" w:color="auto"/>
            </w:tcBorders>
            <w:textDirection w:val="btLr"/>
            <w:vAlign w:val="center"/>
          </w:tcPr>
          <w:p w:rsidR="0097660E" w:rsidRPr="00A63278" w:rsidRDefault="0097660E" w:rsidP="0097660E">
            <w:pPr>
              <w:bidi w:val="0"/>
              <w:ind w:left="113" w:right="113"/>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No. of dead females</w:t>
            </w:r>
          </w:p>
        </w:tc>
        <w:tc>
          <w:tcPr>
            <w:tcW w:w="693" w:type="dxa"/>
            <w:tcBorders>
              <w:top w:val="thinThickSmallGap" w:sz="12" w:space="0" w:color="auto"/>
              <w:bottom w:val="thinThickSmallGap" w:sz="12" w:space="0" w:color="auto"/>
            </w:tcBorders>
            <w:textDirection w:val="btLr"/>
            <w:vAlign w:val="center"/>
          </w:tcPr>
          <w:p w:rsidR="0097660E" w:rsidRPr="00A63278" w:rsidRDefault="0097660E" w:rsidP="0097660E">
            <w:pPr>
              <w:bidi w:val="0"/>
              <w:ind w:left="113" w:right="113"/>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Percentage (%)</w:t>
            </w:r>
          </w:p>
        </w:tc>
        <w:tc>
          <w:tcPr>
            <w:tcW w:w="754" w:type="dxa"/>
            <w:tcBorders>
              <w:top w:val="thinThickSmallGap" w:sz="12" w:space="0" w:color="auto"/>
              <w:bottom w:val="thinThickSmallGap" w:sz="12" w:space="0" w:color="auto"/>
            </w:tcBorders>
            <w:textDirection w:val="btLr"/>
            <w:vAlign w:val="center"/>
          </w:tcPr>
          <w:p w:rsidR="0097660E" w:rsidRPr="00A63278" w:rsidRDefault="0097660E" w:rsidP="0097660E">
            <w:pPr>
              <w:bidi w:val="0"/>
              <w:ind w:left="113" w:right="113"/>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No. of dead females</w:t>
            </w:r>
          </w:p>
        </w:tc>
        <w:tc>
          <w:tcPr>
            <w:tcW w:w="680" w:type="dxa"/>
            <w:tcBorders>
              <w:top w:val="thinThickSmallGap" w:sz="12" w:space="0" w:color="auto"/>
              <w:bottom w:val="thinThickSmallGap" w:sz="12" w:space="0" w:color="auto"/>
              <w:right w:val="thinThickSmallGap" w:sz="12" w:space="0" w:color="auto"/>
            </w:tcBorders>
            <w:textDirection w:val="btLr"/>
            <w:vAlign w:val="center"/>
          </w:tcPr>
          <w:p w:rsidR="0097660E" w:rsidRPr="00A63278" w:rsidRDefault="0097660E" w:rsidP="0097660E">
            <w:pPr>
              <w:bidi w:val="0"/>
              <w:ind w:left="113" w:right="113"/>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Percentage (%)</w:t>
            </w:r>
          </w:p>
        </w:tc>
        <w:tc>
          <w:tcPr>
            <w:tcW w:w="598" w:type="dxa"/>
            <w:tcBorders>
              <w:top w:val="thinThickSmallGap" w:sz="12" w:space="0" w:color="auto"/>
              <w:left w:val="thinThickSmallGap" w:sz="12" w:space="0" w:color="auto"/>
              <w:bottom w:val="thinThickSmallGap" w:sz="12" w:space="0" w:color="auto"/>
            </w:tcBorders>
            <w:textDirection w:val="btLr"/>
            <w:vAlign w:val="center"/>
          </w:tcPr>
          <w:p w:rsidR="0097660E" w:rsidRPr="00A63278" w:rsidRDefault="0097660E" w:rsidP="0097660E">
            <w:pPr>
              <w:bidi w:val="0"/>
              <w:ind w:left="113" w:right="113"/>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No. of dead females</w:t>
            </w:r>
          </w:p>
        </w:tc>
        <w:tc>
          <w:tcPr>
            <w:tcW w:w="836" w:type="dxa"/>
            <w:tcBorders>
              <w:top w:val="thinThickSmallGap" w:sz="12" w:space="0" w:color="auto"/>
              <w:bottom w:val="thinThickSmallGap" w:sz="12" w:space="0" w:color="auto"/>
              <w:right w:val="thinThickSmallGap" w:sz="12" w:space="0" w:color="auto"/>
            </w:tcBorders>
            <w:textDirection w:val="btLr"/>
            <w:vAlign w:val="center"/>
          </w:tcPr>
          <w:p w:rsidR="0097660E" w:rsidRPr="00A63278" w:rsidRDefault="0097660E" w:rsidP="0097660E">
            <w:pPr>
              <w:bidi w:val="0"/>
              <w:ind w:left="113" w:right="113"/>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Percentage (%)</w:t>
            </w:r>
          </w:p>
        </w:tc>
        <w:tc>
          <w:tcPr>
            <w:tcW w:w="780" w:type="dxa"/>
            <w:tcBorders>
              <w:top w:val="thinThickSmallGap" w:sz="12" w:space="0" w:color="auto"/>
              <w:left w:val="thinThickSmallGap" w:sz="12" w:space="0" w:color="auto"/>
              <w:bottom w:val="thinThickSmallGap" w:sz="12" w:space="0" w:color="auto"/>
            </w:tcBorders>
            <w:textDirection w:val="btLr"/>
            <w:vAlign w:val="center"/>
          </w:tcPr>
          <w:p w:rsidR="0097660E" w:rsidRPr="00A63278" w:rsidRDefault="0097660E" w:rsidP="0097660E">
            <w:pPr>
              <w:bidi w:val="0"/>
              <w:ind w:left="113" w:right="113"/>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No. of survival females</w:t>
            </w:r>
          </w:p>
        </w:tc>
        <w:tc>
          <w:tcPr>
            <w:tcW w:w="722" w:type="dxa"/>
            <w:tcBorders>
              <w:top w:val="thinThickSmallGap" w:sz="12" w:space="0" w:color="auto"/>
              <w:bottom w:val="thinThickSmallGap" w:sz="12" w:space="0" w:color="auto"/>
            </w:tcBorders>
            <w:textDirection w:val="btLr"/>
            <w:vAlign w:val="center"/>
          </w:tcPr>
          <w:p w:rsidR="0097660E" w:rsidRPr="00A63278" w:rsidRDefault="0097660E" w:rsidP="0097660E">
            <w:pPr>
              <w:bidi w:val="0"/>
              <w:ind w:left="113" w:right="113"/>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No. of pregnant females</w:t>
            </w:r>
          </w:p>
        </w:tc>
        <w:tc>
          <w:tcPr>
            <w:tcW w:w="724" w:type="dxa"/>
            <w:tcBorders>
              <w:top w:val="thinThickSmallGap" w:sz="12" w:space="0" w:color="auto"/>
              <w:bottom w:val="thinThickSmallGap" w:sz="12" w:space="0" w:color="auto"/>
              <w:right w:val="thinThickSmallGap" w:sz="12" w:space="0" w:color="auto"/>
            </w:tcBorders>
            <w:textDirection w:val="btLr"/>
            <w:vAlign w:val="center"/>
          </w:tcPr>
          <w:p w:rsidR="0097660E" w:rsidRPr="00A63278" w:rsidRDefault="0097660E" w:rsidP="0097660E">
            <w:pPr>
              <w:bidi w:val="0"/>
              <w:ind w:left="113" w:right="113"/>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 of mating</w:t>
            </w:r>
          </w:p>
        </w:tc>
      </w:tr>
      <w:tr w:rsidR="0097660E" w:rsidRPr="00A63278" w:rsidTr="0097660E">
        <w:trPr>
          <w:trHeight w:val="88"/>
        </w:trPr>
        <w:tc>
          <w:tcPr>
            <w:tcW w:w="753" w:type="dxa"/>
            <w:tcBorders>
              <w:top w:val="thinThickSmallGap" w:sz="12" w:space="0" w:color="auto"/>
              <w:left w:val="thinThickSmallGap" w:sz="12" w:space="0" w:color="auto"/>
              <w:right w:val="thinThickSmallGap" w:sz="12" w:space="0" w:color="auto"/>
            </w:tcBorders>
            <w:shd w:val="pct5" w:color="auto" w:fill="auto"/>
            <w:vAlign w:val="center"/>
          </w:tcPr>
          <w:p w:rsidR="0097660E" w:rsidRPr="00A63278" w:rsidRDefault="0097660E" w:rsidP="0097660E">
            <w:pPr>
              <w:tabs>
                <w:tab w:val="left" w:pos="2795"/>
              </w:tabs>
              <w:bidi w:val="0"/>
              <w:spacing w:before="120"/>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C</w:t>
            </w:r>
          </w:p>
        </w:tc>
        <w:tc>
          <w:tcPr>
            <w:tcW w:w="490" w:type="dxa"/>
            <w:tcBorders>
              <w:top w:val="thinThickSmallGap" w:sz="12" w:space="0" w:color="auto"/>
              <w:left w:val="thinThickSmallGap" w:sz="12" w:space="0" w:color="auto"/>
              <w:righ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30</w:t>
            </w:r>
          </w:p>
        </w:tc>
        <w:tc>
          <w:tcPr>
            <w:tcW w:w="721" w:type="dxa"/>
            <w:tcBorders>
              <w:top w:val="thinThickSmallGap" w:sz="12" w:space="0" w:color="auto"/>
              <w:lef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0</w:t>
            </w:r>
          </w:p>
        </w:tc>
        <w:tc>
          <w:tcPr>
            <w:tcW w:w="706" w:type="dxa"/>
            <w:tcBorders>
              <w:top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100</w:t>
            </w:r>
          </w:p>
        </w:tc>
        <w:tc>
          <w:tcPr>
            <w:tcW w:w="740" w:type="dxa"/>
            <w:tcBorders>
              <w:top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0</w:t>
            </w:r>
          </w:p>
        </w:tc>
        <w:tc>
          <w:tcPr>
            <w:tcW w:w="693" w:type="dxa"/>
            <w:tcBorders>
              <w:top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100</w:t>
            </w:r>
          </w:p>
        </w:tc>
        <w:tc>
          <w:tcPr>
            <w:tcW w:w="754" w:type="dxa"/>
            <w:tcBorders>
              <w:top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0</w:t>
            </w:r>
          </w:p>
        </w:tc>
        <w:tc>
          <w:tcPr>
            <w:tcW w:w="680" w:type="dxa"/>
            <w:tcBorders>
              <w:top w:val="thinThickSmallGap" w:sz="12" w:space="0" w:color="auto"/>
              <w:righ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100</w:t>
            </w:r>
          </w:p>
        </w:tc>
        <w:tc>
          <w:tcPr>
            <w:tcW w:w="598" w:type="dxa"/>
            <w:tcBorders>
              <w:top w:val="thinThickSmallGap" w:sz="12" w:space="0" w:color="auto"/>
              <w:lef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0</w:t>
            </w:r>
          </w:p>
        </w:tc>
        <w:tc>
          <w:tcPr>
            <w:tcW w:w="836" w:type="dxa"/>
            <w:tcBorders>
              <w:top w:val="thinThickSmallGap" w:sz="12" w:space="0" w:color="auto"/>
              <w:righ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100</w:t>
            </w:r>
          </w:p>
        </w:tc>
        <w:tc>
          <w:tcPr>
            <w:tcW w:w="780" w:type="dxa"/>
            <w:tcBorders>
              <w:top w:val="thinThickSmallGap" w:sz="12" w:space="0" w:color="auto"/>
              <w:lef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30</w:t>
            </w:r>
          </w:p>
        </w:tc>
        <w:tc>
          <w:tcPr>
            <w:tcW w:w="722" w:type="dxa"/>
            <w:tcBorders>
              <w:top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29</w:t>
            </w:r>
          </w:p>
        </w:tc>
        <w:tc>
          <w:tcPr>
            <w:tcW w:w="724" w:type="dxa"/>
            <w:tcBorders>
              <w:top w:val="thinThickSmallGap" w:sz="12" w:space="0" w:color="auto"/>
              <w:righ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96.7</w:t>
            </w:r>
          </w:p>
        </w:tc>
      </w:tr>
      <w:tr w:rsidR="0097660E" w:rsidRPr="00A63278" w:rsidTr="0097660E">
        <w:trPr>
          <w:trHeight w:val="88"/>
        </w:trPr>
        <w:tc>
          <w:tcPr>
            <w:tcW w:w="753" w:type="dxa"/>
            <w:tcBorders>
              <w:left w:val="thinThickSmallGap" w:sz="12" w:space="0" w:color="auto"/>
              <w:right w:val="thinThickSmallGap" w:sz="12" w:space="0" w:color="auto"/>
            </w:tcBorders>
            <w:shd w:val="pct5" w:color="auto" w:fill="auto"/>
            <w:vAlign w:val="center"/>
          </w:tcPr>
          <w:p w:rsidR="0097660E" w:rsidRPr="00A63278" w:rsidRDefault="0097660E" w:rsidP="0097660E">
            <w:pPr>
              <w:tabs>
                <w:tab w:val="left" w:pos="2795"/>
              </w:tabs>
              <w:bidi w:val="0"/>
              <w:spacing w:before="120"/>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G1</w:t>
            </w:r>
          </w:p>
        </w:tc>
        <w:tc>
          <w:tcPr>
            <w:tcW w:w="490" w:type="dxa"/>
            <w:tcBorders>
              <w:left w:val="thinThickSmallGap" w:sz="12" w:space="0" w:color="auto"/>
              <w:righ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30</w:t>
            </w:r>
          </w:p>
        </w:tc>
        <w:tc>
          <w:tcPr>
            <w:tcW w:w="721" w:type="dxa"/>
            <w:tcBorders>
              <w:lef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0</w:t>
            </w:r>
          </w:p>
        </w:tc>
        <w:tc>
          <w:tcPr>
            <w:tcW w:w="706" w:type="dxa"/>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100</w:t>
            </w:r>
          </w:p>
        </w:tc>
        <w:tc>
          <w:tcPr>
            <w:tcW w:w="740" w:type="dxa"/>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1</w:t>
            </w:r>
          </w:p>
        </w:tc>
        <w:tc>
          <w:tcPr>
            <w:tcW w:w="693" w:type="dxa"/>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96.7</w:t>
            </w:r>
          </w:p>
        </w:tc>
        <w:tc>
          <w:tcPr>
            <w:tcW w:w="754" w:type="dxa"/>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2</w:t>
            </w:r>
          </w:p>
        </w:tc>
        <w:tc>
          <w:tcPr>
            <w:tcW w:w="680" w:type="dxa"/>
            <w:tcBorders>
              <w:righ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90.0</w:t>
            </w:r>
          </w:p>
        </w:tc>
        <w:tc>
          <w:tcPr>
            <w:tcW w:w="598" w:type="dxa"/>
            <w:tcBorders>
              <w:lef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1</w:t>
            </w:r>
          </w:p>
        </w:tc>
        <w:tc>
          <w:tcPr>
            <w:tcW w:w="836" w:type="dxa"/>
            <w:tcBorders>
              <w:righ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95.2</w:t>
            </w:r>
          </w:p>
        </w:tc>
        <w:tc>
          <w:tcPr>
            <w:tcW w:w="780" w:type="dxa"/>
            <w:tcBorders>
              <w:lef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27</w:t>
            </w:r>
          </w:p>
        </w:tc>
        <w:tc>
          <w:tcPr>
            <w:tcW w:w="722" w:type="dxa"/>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21</w:t>
            </w:r>
          </w:p>
        </w:tc>
        <w:tc>
          <w:tcPr>
            <w:tcW w:w="724" w:type="dxa"/>
            <w:tcBorders>
              <w:righ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77.8</w:t>
            </w:r>
          </w:p>
        </w:tc>
      </w:tr>
      <w:tr w:rsidR="0097660E" w:rsidRPr="00A63278" w:rsidTr="0097660E">
        <w:trPr>
          <w:trHeight w:val="88"/>
        </w:trPr>
        <w:tc>
          <w:tcPr>
            <w:tcW w:w="753" w:type="dxa"/>
            <w:tcBorders>
              <w:left w:val="thinThickSmallGap" w:sz="12" w:space="0" w:color="auto"/>
              <w:bottom w:val="thinThickSmallGap" w:sz="12" w:space="0" w:color="auto"/>
              <w:right w:val="thinThickSmallGap" w:sz="12" w:space="0" w:color="auto"/>
            </w:tcBorders>
            <w:shd w:val="pct5" w:color="auto" w:fill="auto"/>
            <w:vAlign w:val="center"/>
          </w:tcPr>
          <w:p w:rsidR="0097660E" w:rsidRPr="00A63278" w:rsidRDefault="0097660E" w:rsidP="0097660E">
            <w:pPr>
              <w:tabs>
                <w:tab w:val="left" w:pos="2795"/>
              </w:tabs>
              <w:bidi w:val="0"/>
              <w:spacing w:before="120"/>
              <w:jc w:val="both"/>
              <w:rPr>
                <w:rFonts w:asciiTheme="majorBidi" w:hAnsiTheme="majorBidi" w:cstheme="majorBidi"/>
                <w:b/>
                <w:bCs/>
                <w:sz w:val="16"/>
                <w:szCs w:val="16"/>
                <w:lang w:bidi="ar-IQ"/>
              </w:rPr>
            </w:pPr>
            <w:r w:rsidRPr="00A63278">
              <w:rPr>
                <w:rFonts w:asciiTheme="majorBidi" w:hAnsiTheme="majorBidi" w:cstheme="majorBidi"/>
                <w:b/>
                <w:bCs/>
                <w:sz w:val="16"/>
                <w:szCs w:val="16"/>
                <w:lang w:bidi="ar-IQ"/>
              </w:rPr>
              <w:t>G2</w:t>
            </w:r>
          </w:p>
        </w:tc>
        <w:tc>
          <w:tcPr>
            <w:tcW w:w="490" w:type="dxa"/>
            <w:tcBorders>
              <w:left w:val="thinThickSmallGap" w:sz="12" w:space="0" w:color="auto"/>
              <w:bottom w:val="thinThickSmallGap" w:sz="12" w:space="0" w:color="auto"/>
              <w:righ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30</w:t>
            </w:r>
          </w:p>
        </w:tc>
        <w:tc>
          <w:tcPr>
            <w:tcW w:w="721" w:type="dxa"/>
            <w:tcBorders>
              <w:left w:val="thinThickSmallGap" w:sz="12" w:space="0" w:color="auto"/>
              <w:bottom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1</w:t>
            </w:r>
          </w:p>
        </w:tc>
        <w:tc>
          <w:tcPr>
            <w:tcW w:w="706" w:type="dxa"/>
            <w:tcBorders>
              <w:bottom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96.7</w:t>
            </w:r>
          </w:p>
        </w:tc>
        <w:tc>
          <w:tcPr>
            <w:tcW w:w="740" w:type="dxa"/>
            <w:tcBorders>
              <w:bottom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2</w:t>
            </w:r>
          </w:p>
        </w:tc>
        <w:tc>
          <w:tcPr>
            <w:tcW w:w="693" w:type="dxa"/>
            <w:tcBorders>
              <w:bottom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90.0</w:t>
            </w:r>
          </w:p>
        </w:tc>
        <w:tc>
          <w:tcPr>
            <w:tcW w:w="754" w:type="dxa"/>
            <w:tcBorders>
              <w:bottom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4</w:t>
            </w:r>
          </w:p>
        </w:tc>
        <w:tc>
          <w:tcPr>
            <w:tcW w:w="680" w:type="dxa"/>
            <w:tcBorders>
              <w:bottom w:val="thinThickSmallGap" w:sz="12" w:space="0" w:color="auto"/>
              <w:righ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76.7</w:t>
            </w:r>
          </w:p>
        </w:tc>
        <w:tc>
          <w:tcPr>
            <w:tcW w:w="598" w:type="dxa"/>
            <w:tcBorders>
              <w:left w:val="thinThickSmallGap" w:sz="12" w:space="0" w:color="auto"/>
              <w:bottom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2</w:t>
            </w:r>
          </w:p>
        </w:tc>
        <w:tc>
          <w:tcPr>
            <w:tcW w:w="836" w:type="dxa"/>
            <w:tcBorders>
              <w:bottom w:val="thinThickSmallGap" w:sz="12" w:space="0" w:color="auto"/>
              <w:righ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85.7</w:t>
            </w:r>
          </w:p>
        </w:tc>
        <w:tc>
          <w:tcPr>
            <w:tcW w:w="780" w:type="dxa"/>
            <w:tcBorders>
              <w:left w:val="thinThickSmallGap" w:sz="12" w:space="0" w:color="auto"/>
              <w:bottom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23</w:t>
            </w:r>
          </w:p>
        </w:tc>
        <w:tc>
          <w:tcPr>
            <w:tcW w:w="722" w:type="dxa"/>
            <w:tcBorders>
              <w:bottom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14</w:t>
            </w:r>
          </w:p>
        </w:tc>
        <w:tc>
          <w:tcPr>
            <w:tcW w:w="724" w:type="dxa"/>
            <w:tcBorders>
              <w:bottom w:val="thinThickSmallGap" w:sz="12" w:space="0" w:color="auto"/>
              <w:right w:val="thinThickSmallGap" w:sz="12" w:space="0" w:color="auto"/>
            </w:tcBorders>
            <w:vAlign w:val="center"/>
          </w:tcPr>
          <w:p w:rsidR="0097660E" w:rsidRPr="00A63278" w:rsidRDefault="0097660E" w:rsidP="0097660E">
            <w:pPr>
              <w:bidi w:val="0"/>
              <w:jc w:val="both"/>
              <w:rPr>
                <w:rFonts w:asciiTheme="majorBidi" w:hAnsiTheme="majorBidi" w:cstheme="majorBidi"/>
                <w:sz w:val="16"/>
                <w:szCs w:val="16"/>
                <w:lang w:bidi="ar-IQ"/>
              </w:rPr>
            </w:pPr>
            <w:r w:rsidRPr="00A63278">
              <w:rPr>
                <w:rFonts w:asciiTheme="majorBidi" w:hAnsiTheme="majorBidi" w:cstheme="majorBidi"/>
                <w:sz w:val="16"/>
                <w:szCs w:val="16"/>
                <w:lang w:bidi="ar-IQ"/>
              </w:rPr>
              <w:t>60.9</w:t>
            </w:r>
          </w:p>
        </w:tc>
      </w:tr>
    </w:tbl>
    <w:p w:rsidR="005E3D90" w:rsidRPr="005E3D90" w:rsidRDefault="005E3D90" w:rsidP="00995601">
      <w:pPr>
        <w:tabs>
          <w:tab w:val="right" w:pos="900"/>
        </w:tabs>
        <w:autoSpaceDE w:val="0"/>
        <w:autoSpaceDN w:val="0"/>
        <w:bidi w:val="0"/>
        <w:adjustRightInd w:val="0"/>
        <w:spacing w:before="240" w:line="360" w:lineRule="auto"/>
        <w:jc w:val="both"/>
        <w:rPr>
          <w:rFonts w:asciiTheme="majorBidi" w:hAnsiTheme="majorBidi" w:cstheme="majorBidi"/>
          <w:b/>
          <w:bCs/>
          <w:sz w:val="24"/>
          <w:szCs w:val="24"/>
        </w:rPr>
      </w:pPr>
      <w:r w:rsidRPr="005E3D90">
        <w:rPr>
          <w:rFonts w:asciiTheme="majorBidi" w:hAnsiTheme="majorBidi" w:cstheme="majorBidi"/>
          <w:b/>
          <w:bCs/>
          <w:noProof/>
          <w:sz w:val="24"/>
          <w:szCs w:val="24"/>
        </w:rPr>
        <w:drawing>
          <wp:inline distT="0" distB="0" distL="0" distR="0">
            <wp:extent cx="3200400" cy="175895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A52EB6" w:rsidRPr="005E3D90">
        <w:rPr>
          <w:rStyle w:val="PageNumber"/>
          <w:rFonts w:asciiTheme="majorBidi" w:hAnsiTheme="majorBidi" w:cstheme="majorBidi"/>
          <w:noProof/>
          <w:sz w:val="24"/>
          <w:szCs w:val="24"/>
        </w:rPr>
        <w:drawing>
          <wp:inline distT="0" distB="0" distL="0" distR="0">
            <wp:extent cx="2432050" cy="1758950"/>
            <wp:effectExtent l="19050" t="0" r="25400" b="0"/>
            <wp:docPr id="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2EB6" w:rsidRDefault="005E3D90" w:rsidP="0097660E">
      <w:pPr>
        <w:tabs>
          <w:tab w:val="right" w:pos="900"/>
        </w:tabs>
        <w:autoSpaceDE w:val="0"/>
        <w:autoSpaceDN w:val="0"/>
        <w:bidi w:val="0"/>
        <w:adjustRightInd w:val="0"/>
        <w:spacing w:after="0" w:line="240" w:lineRule="auto"/>
        <w:jc w:val="both"/>
        <w:rPr>
          <w:rFonts w:asciiTheme="majorBidi" w:hAnsiTheme="majorBidi" w:cstheme="majorBidi"/>
          <w:b/>
          <w:bCs/>
          <w:sz w:val="14"/>
          <w:szCs w:val="14"/>
        </w:rPr>
      </w:pPr>
      <w:r w:rsidRPr="00A52EB6">
        <w:rPr>
          <w:rFonts w:asciiTheme="majorBidi" w:hAnsiTheme="majorBidi" w:cstheme="majorBidi"/>
          <w:b/>
          <w:bCs/>
          <w:sz w:val="14"/>
          <w:szCs w:val="14"/>
        </w:rPr>
        <w:t xml:space="preserve">Fig. 2: The percentage of survival of non-pregnant and </w:t>
      </w:r>
      <w:r w:rsidR="00A52EB6" w:rsidRPr="00A52EB6">
        <w:rPr>
          <w:rFonts w:asciiTheme="majorBidi" w:hAnsiTheme="majorBidi" w:cstheme="majorBidi"/>
          <w:b/>
          <w:bCs/>
          <w:sz w:val="14"/>
          <w:szCs w:val="14"/>
        </w:rPr>
        <w:t xml:space="preserve">  </w:t>
      </w:r>
      <w:r w:rsidR="00A52EB6">
        <w:rPr>
          <w:rFonts w:asciiTheme="majorBidi" w:hAnsiTheme="majorBidi" w:cstheme="majorBidi"/>
          <w:b/>
          <w:bCs/>
          <w:sz w:val="14"/>
          <w:szCs w:val="14"/>
        </w:rPr>
        <w:t xml:space="preserve">           </w:t>
      </w:r>
      <w:r w:rsidR="0097660E">
        <w:rPr>
          <w:rFonts w:asciiTheme="majorBidi" w:hAnsiTheme="majorBidi" w:cstheme="majorBidi"/>
          <w:b/>
          <w:bCs/>
          <w:sz w:val="14"/>
          <w:szCs w:val="14"/>
        </w:rPr>
        <w:t xml:space="preserve">                      </w:t>
      </w:r>
      <w:r w:rsidR="00A52EB6">
        <w:rPr>
          <w:rFonts w:asciiTheme="majorBidi" w:hAnsiTheme="majorBidi" w:cstheme="majorBidi"/>
          <w:b/>
          <w:bCs/>
          <w:sz w:val="14"/>
          <w:szCs w:val="14"/>
        </w:rPr>
        <w:t xml:space="preserve">  </w:t>
      </w:r>
      <w:r w:rsidR="00A52EB6" w:rsidRPr="00A52EB6">
        <w:rPr>
          <w:rFonts w:asciiTheme="majorBidi" w:hAnsiTheme="majorBidi" w:cstheme="majorBidi"/>
          <w:b/>
          <w:bCs/>
          <w:sz w:val="14"/>
          <w:szCs w:val="14"/>
        </w:rPr>
        <w:t xml:space="preserve">Fig. 3: the percentage of mating of treated females with normal males. </w:t>
      </w:r>
    </w:p>
    <w:p w:rsidR="00A52EB6" w:rsidRDefault="005E3D90" w:rsidP="0097660E">
      <w:pPr>
        <w:tabs>
          <w:tab w:val="right" w:pos="900"/>
        </w:tabs>
        <w:autoSpaceDE w:val="0"/>
        <w:autoSpaceDN w:val="0"/>
        <w:bidi w:val="0"/>
        <w:adjustRightInd w:val="0"/>
        <w:spacing w:after="0" w:line="240" w:lineRule="auto"/>
        <w:jc w:val="both"/>
        <w:rPr>
          <w:rFonts w:asciiTheme="majorBidi" w:hAnsiTheme="majorBidi" w:cstheme="majorBidi"/>
          <w:b/>
          <w:bCs/>
          <w:sz w:val="14"/>
          <w:szCs w:val="14"/>
        </w:rPr>
      </w:pPr>
      <w:proofErr w:type="gramStart"/>
      <w:r w:rsidRPr="00A52EB6">
        <w:rPr>
          <w:rFonts w:asciiTheme="majorBidi" w:hAnsiTheme="majorBidi" w:cstheme="majorBidi"/>
          <w:b/>
          <w:bCs/>
          <w:sz w:val="14"/>
          <w:szCs w:val="14"/>
        </w:rPr>
        <w:t>pregnant</w:t>
      </w:r>
      <w:proofErr w:type="gramEnd"/>
      <w:r w:rsidRPr="00A52EB6">
        <w:rPr>
          <w:rFonts w:asciiTheme="majorBidi" w:hAnsiTheme="majorBidi" w:cstheme="majorBidi"/>
          <w:b/>
          <w:bCs/>
          <w:sz w:val="14"/>
          <w:szCs w:val="14"/>
        </w:rPr>
        <w:t xml:space="preserve"> control</w:t>
      </w:r>
      <w:r w:rsidR="00A52EB6" w:rsidRPr="00A52EB6">
        <w:rPr>
          <w:rFonts w:asciiTheme="majorBidi" w:hAnsiTheme="majorBidi" w:cstheme="majorBidi"/>
          <w:b/>
          <w:bCs/>
          <w:sz w:val="14"/>
          <w:szCs w:val="14"/>
        </w:rPr>
        <w:t xml:space="preserve"> </w:t>
      </w:r>
      <w:r w:rsidRPr="00A52EB6">
        <w:rPr>
          <w:rFonts w:asciiTheme="majorBidi" w:hAnsiTheme="majorBidi" w:cstheme="majorBidi"/>
          <w:b/>
          <w:bCs/>
          <w:sz w:val="14"/>
          <w:szCs w:val="14"/>
        </w:rPr>
        <w:t>and treated females with TCE.</w:t>
      </w:r>
    </w:p>
    <w:p w:rsidR="005E3D90" w:rsidRPr="00A52EB6" w:rsidRDefault="005E3D90" w:rsidP="00A52EB6">
      <w:pPr>
        <w:tabs>
          <w:tab w:val="right" w:pos="900"/>
        </w:tabs>
        <w:autoSpaceDE w:val="0"/>
        <w:autoSpaceDN w:val="0"/>
        <w:bidi w:val="0"/>
        <w:adjustRightInd w:val="0"/>
        <w:spacing w:before="240" w:line="240" w:lineRule="auto"/>
        <w:jc w:val="both"/>
        <w:rPr>
          <w:rFonts w:asciiTheme="majorBidi" w:hAnsiTheme="majorBidi" w:cstheme="majorBidi"/>
          <w:b/>
          <w:bCs/>
          <w:sz w:val="14"/>
          <w:szCs w:val="14"/>
        </w:rPr>
      </w:pPr>
      <w:r w:rsidRPr="005E3D90">
        <w:rPr>
          <w:rFonts w:asciiTheme="majorBidi" w:hAnsiTheme="majorBidi" w:cstheme="majorBidi"/>
          <w:b/>
          <w:bCs/>
          <w:sz w:val="24"/>
          <w:szCs w:val="24"/>
          <w:lang w:bidi="ar-IQ"/>
        </w:rPr>
        <w:t>1.3.</w:t>
      </w:r>
      <w:r w:rsidRPr="005E3D90">
        <w:rPr>
          <w:rFonts w:asciiTheme="majorBidi" w:hAnsiTheme="majorBidi" w:cstheme="majorBidi"/>
          <w:sz w:val="24"/>
          <w:szCs w:val="24"/>
          <w:lang w:bidi="ar-IQ"/>
        </w:rPr>
        <w:t xml:space="preserve"> </w:t>
      </w:r>
      <w:r w:rsidRPr="005E3D90">
        <w:rPr>
          <w:rFonts w:asciiTheme="majorBidi" w:hAnsiTheme="majorBidi" w:cstheme="majorBidi"/>
          <w:b/>
          <w:bCs/>
          <w:sz w:val="24"/>
          <w:szCs w:val="24"/>
        </w:rPr>
        <w:t>Percentage of mating:</w:t>
      </w:r>
    </w:p>
    <w:p w:rsidR="005E3D90" w:rsidRPr="005E3D90" w:rsidRDefault="005E3D90" w:rsidP="005E3D90">
      <w:pPr>
        <w:tabs>
          <w:tab w:val="left" w:pos="2070"/>
        </w:tabs>
        <w:bidi w:val="0"/>
        <w:spacing w:before="240" w:line="360" w:lineRule="auto"/>
        <w:ind w:firstLine="720"/>
        <w:jc w:val="both"/>
        <w:rPr>
          <w:rStyle w:val="PageNumber"/>
          <w:rFonts w:asciiTheme="majorBidi" w:hAnsiTheme="majorBidi" w:cstheme="majorBidi"/>
          <w:noProof/>
          <w:sz w:val="24"/>
          <w:szCs w:val="24"/>
        </w:rPr>
      </w:pPr>
      <w:r w:rsidRPr="005E3D90">
        <w:rPr>
          <w:rStyle w:val="PageNumber"/>
          <w:rFonts w:asciiTheme="majorBidi" w:hAnsiTheme="majorBidi" w:cstheme="majorBidi"/>
          <w:noProof/>
          <w:sz w:val="24"/>
          <w:szCs w:val="24"/>
        </w:rPr>
        <w:t>Most of the treated females were symptomised by reduced excitability and appetite. At the end of the third week of treatment the females were allowed to mate with normal proven males. It was observed that the percent of mating for the treated females was less than the control. The percent of succeeded copulation was 77.8% for G1 and 60.9% for G2 compared with 96.7% for the control group (Table 3 and Fig. 3).</w:t>
      </w:r>
    </w:p>
    <w:p w:rsidR="005E3D90" w:rsidRPr="005E3D90" w:rsidRDefault="005E3D90" w:rsidP="005E3D90">
      <w:pPr>
        <w:tabs>
          <w:tab w:val="left" w:pos="2070"/>
        </w:tabs>
        <w:bidi w:val="0"/>
        <w:spacing w:before="240" w:line="360" w:lineRule="auto"/>
        <w:jc w:val="both"/>
        <w:rPr>
          <w:rStyle w:val="PageNumber"/>
          <w:rFonts w:asciiTheme="majorBidi" w:hAnsiTheme="majorBidi" w:cstheme="majorBidi"/>
          <w:b/>
          <w:bCs/>
          <w:noProof/>
          <w:sz w:val="24"/>
          <w:szCs w:val="24"/>
        </w:rPr>
      </w:pPr>
      <w:r w:rsidRPr="005E3D90">
        <w:rPr>
          <w:rStyle w:val="PageNumber"/>
          <w:rFonts w:asciiTheme="majorBidi" w:hAnsiTheme="majorBidi" w:cstheme="majorBidi"/>
          <w:b/>
          <w:bCs/>
          <w:noProof/>
          <w:sz w:val="24"/>
          <w:szCs w:val="24"/>
        </w:rPr>
        <w:t>1.4. Percentage of abortion</w:t>
      </w:r>
    </w:p>
    <w:p w:rsidR="005E3D90" w:rsidRPr="005E3D90" w:rsidRDefault="005E3D90" w:rsidP="005E3D90">
      <w:pPr>
        <w:tabs>
          <w:tab w:val="left" w:pos="2070"/>
        </w:tabs>
        <w:bidi w:val="0"/>
        <w:spacing w:before="240" w:line="360" w:lineRule="auto"/>
        <w:ind w:firstLine="720"/>
        <w:jc w:val="both"/>
        <w:rPr>
          <w:rStyle w:val="PageNumber"/>
          <w:rFonts w:asciiTheme="majorBidi" w:hAnsiTheme="majorBidi" w:cstheme="majorBidi"/>
          <w:noProof/>
          <w:sz w:val="24"/>
          <w:szCs w:val="24"/>
        </w:rPr>
      </w:pPr>
      <w:r w:rsidRPr="005E3D90">
        <w:rPr>
          <w:rStyle w:val="PageNumber"/>
          <w:rFonts w:asciiTheme="majorBidi" w:hAnsiTheme="majorBidi" w:cstheme="majorBidi"/>
          <w:noProof/>
          <w:sz w:val="24"/>
          <w:szCs w:val="24"/>
        </w:rPr>
        <w:lastRenderedPageBreak/>
        <w:t>The present study showed one female from the first group (G1) that treated with the low dose of TCE (24 mg/kg b.w.) and three females of the second group (G2) that treated with the high dose of TCE (240 mg/kg b.w.) were aborted during the gestation period. Howevere, the control group showed no aborted females. The abortion was confirmed by the presence of blood drops in the vagina and sudden loss in maternal body weight. The percent of abortion in the second treated group (G2) was more than that of the first group (G1) and control pregnant dams (Table 4 and Fig. 4). The mean number of feotuses was markedly reduced in treated groups.</w:t>
      </w:r>
    </w:p>
    <w:tbl>
      <w:tblPr>
        <w:tblStyle w:val="TableGrid"/>
        <w:tblW w:w="8267" w:type="dxa"/>
        <w:jc w:val="center"/>
        <w:tblLayout w:type="fixed"/>
        <w:tblLook w:val="04A0"/>
      </w:tblPr>
      <w:tblGrid>
        <w:gridCol w:w="1065"/>
        <w:gridCol w:w="1255"/>
        <w:gridCol w:w="1117"/>
        <w:gridCol w:w="1255"/>
        <w:gridCol w:w="1255"/>
        <w:gridCol w:w="1395"/>
        <w:gridCol w:w="925"/>
      </w:tblGrid>
      <w:tr w:rsidR="005E3D90" w:rsidRPr="00CE7C8F" w:rsidTr="00995601">
        <w:trPr>
          <w:trHeight w:hRule="exact" w:val="333"/>
          <w:jc w:val="center"/>
        </w:trPr>
        <w:tc>
          <w:tcPr>
            <w:tcW w:w="1065" w:type="dxa"/>
            <w:vMerge w:val="restart"/>
            <w:tcBorders>
              <w:top w:val="thinThickSmallGap" w:sz="12" w:space="0" w:color="auto"/>
              <w:left w:val="thinThickSmallGap" w:sz="12" w:space="0" w:color="auto"/>
              <w:right w:val="thinThickSmallGap" w:sz="12" w:space="0" w:color="auto"/>
            </w:tcBorders>
            <w:shd w:val="pct5" w:color="auto" w:fill="auto"/>
            <w:vAlign w:val="center"/>
          </w:tcPr>
          <w:p w:rsidR="005E3D90" w:rsidRPr="00995601" w:rsidRDefault="005E3D90" w:rsidP="00CE7C8F">
            <w:pPr>
              <w:tabs>
                <w:tab w:val="left" w:pos="5236"/>
              </w:tabs>
              <w:bidi w:val="0"/>
              <w:jc w:val="center"/>
              <w:rPr>
                <w:rFonts w:asciiTheme="majorBidi" w:hAnsiTheme="majorBidi" w:cstheme="majorBidi"/>
                <w:sz w:val="14"/>
                <w:szCs w:val="14"/>
                <w:lang w:bidi="ar-IQ"/>
              </w:rPr>
            </w:pPr>
            <w:r w:rsidRPr="00995601">
              <w:rPr>
                <w:rFonts w:asciiTheme="majorBidi" w:hAnsiTheme="majorBidi" w:cstheme="majorBidi"/>
                <w:b/>
                <w:bCs/>
                <w:sz w:val="14"/>
                <w:szCs w:val="14"/>
                <w:lang w:bidi="ar-IQ"/>
              </w:rPr>
              <w:t>Groups</w:t>
            </w:r>
          </w:p>
        </w:tc>
        <w:tc>
          <w:tcPr>
            <w:tcW w:w="1255" w:type="dxa"/>
            <w:vMerge w:val="restart"/>
            <w:tcBorders>
              <w:top w:val="thinThickSmallGap" w:sz="12" w:space="0" w:color="auto"/>
              <w:left w:val="thinThickSmallGap" w:sz="12" w:space="0" w:color="auto"/>
            </w:tcBorders>
            <w:shd w:val="pct5" w:color="auto" w:fill="auto"/>
            <w:vAlign w:val="center"/>
          </w:tcPr>
          <w:p w:rsidR="005E3D90" w:rsidRPr="00995601" w:rsidRDefault="005E3D90" w:rsidP="00CE7C8F">
            <w:pPr>
              <w:tabs>
                <w:tab w:val="left" w:pos="5236"/>
              </w:tabs>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No. of pregnant females</w:t>
            </w:r>
          </w:p>
        </w:tc>
        <w:tc>
          <w:tcPr>
            <w:tcW w:w="1117" w:type="dxa"/>
            <w:vMerge w:val="restart"/>
            <w:tcBorders>
              <w:top w:val="thinThickSmallGap" w:sz="12" w:space="0" w:color="auto"/>
            </w:tcBorders>
            <w:shd w:val="pct5" w:color="auto" w:fill="auto"/>
            <w:vAlign w:val="center"/>
          </w:tcPr>
          <w:p w:rsidR="005E3D90" w:rsidRPr="00995601" w:rsidRDefault="005E3D90" w:rsidP="00CE7C8F">
            <w:pPr>
              <w:tabs>
                <w:tab w:val="left" w:pos="5236"/>
              </w:tabs>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No. of aborted females</w:t>
            </w:r>
          </w:p>
        </w:tc>
        <w:tc>
          <w:tcPr>
            <w:tcW w:w="1255" w:type="dxa"/>
            <w:vMerge w:val="restart"/>
            <w:tcBorders>
              <w:top w:val="thinThickSmallGap" w:sz="12" w:space="0" w:color="auto"/>
            </w:tcBorders>
            <w:shd w:val="pct5" w:color="auto" w:fill="auto"/>
            <w:vAlign w:val="center"/>
          </w:tcPr>
          <w:p w:rsidR="005E3D90" w:rsidRPr="00995601" w:rsidRDefault="005E3D90" w:rsidP="00CE7C8F">
            <w:pPr>
              <w:tabs>
                <w:tab w:val="left" w:pos="5236"/>
              </w:tabs>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 of Aborted females</w:t>
            </w:r>
          </w:p>
        </w:tc>
        <w:tc>
          <w:tcPr>
            <w:tcW w:w="1255" w:type="dxa"/>
            <w:vMerge w:val="restart"/>
            <w:tcBorders>
              <w:top w:val="thinThickSmallGap" w:sz="12" w:space="0" w:color="auto"/>
            </w:tcBorders>
            <w:shd w:val="pct5" w:color="auto" w:fill="auto"/>
            <w:vAlign w:val="center"/>
          </w:tcPr>
          <w:p w:rsidR="005E3D90" w:rsidRPr="00995601" w:rsidRDefault="005E3D90" w:rsidP="00CE7C8F">
            <w:pPr>
              <w:tabs>
                <w:tab w:val="left" w:pos="5236"/>
              </w:tabs>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 xml:space="preserve">No. of females with alive </w:t>
            </w:r>
            <w:proofErr w:type="spellStart"/>
            <w:r w:rsidRPr="00995601">
              <w:rPr>
                <w:rFonts w:asciiTheme="majorBidi" w:hAnsiTheme="majorBidi" w:cstheme="majorBidi"/>
                <w:b/>
                <w:bCs/>
                <w:sz w:val="14"/>
                <w:szCs w:val="14"/>
                <w:lang w:bidi="ar-IQ"/>
              </w:rPr>
              <w:t>foetuses</w:t>
            </w:r>
            <w:proofErr w:type="spellEnd"/>
          </w:p>
        </w:tc>
        <w:tc>
          <w:tcPr>
            <w:tcW w:w="2320" w:type="dxa"/>
            <w:gridSpan w:val="2"/>
            <w:tcBorders>
              <w:top w:val="thinThickSmallGap" w:sz="12" w:space="0" w:color="auto"/>
              <w:right w:val="thinThickSmallGap" w:sz="12" w:space="0" w:color="auto"/>
            </w:tcBorders>
            <w:shd w:val="pct5" w:color="auto" w:fill="auto"/>
            <w:vAlign w:val="center"/>
          </w:tcPr>
          <w:p w:rsidR="005E3D90" w:rsidRPr="00995601" w:rsidRDefault="005E3D90" w:rsidP="00CE7C8F">
            <w:pPr>
              <w:tabs>
                <w:tab w:val="left" w:pos="2795"/>
              </w:tabs>
              <w:bidi w:val="0"/>
              <w:spacing w:before="120"/>
              <w:jc w:val="center"/>
              <w:rPr>
                <w:rFonts w:asciiTheme="majorBidi" w:hAnsiTheme="majorBidi" w:cstheme="majorBidi"/>
                <w:sz w:val="14"/>
                <w:szCs w:val="14"/>
                <w:lang w:bidi="ar-IQ"/>
              </w:rPr>
            </w:pPr>
            <w:r w:rsidRPr="00995601">
              <w:rPr>
                <w:rFonts w:asciiTheme="majorBidi" w:hAnsiTheme="majorBidi" w:cstheme="majorBidi"/>
                <w:b/>
                <w:bCs/>
                <w:sz w:val="14"/>
                <w:szCs w:val="14"/>
                <w:lang w:bidi="ar-IQ"/>
              </w:rPr>
              <w:t xml:space="preserve">No. of </w:t>
            </w:r>
            <w:proofErr w:type="spellStart"/>
            <w:r w:rsidRPr="00995601">
              <w:rPr>
                <w:rFonts w:asciiTheme="majorBidi" w:hAnsiTheme="majorBidi" w:cstheme="majorBidi"/>
                <w:b/>
                <w:bCs/>
                <w:sz w:val="14"/>
                <w:szCs w:val="14"/>
                <w:lang w:bidi="ar-IQ"/>
              </w:rPr>
              <w:t>foetuses</w:t>
            </w:r>
            <w:proofErr w:type="spellEnd"/>
            <w:r w:rsidRPr="00995601">
              <w:rPr>
                <w:rFonts w:asciiTheme="majorBidi" w:hAnsiTheme="majorBidi" w:cstheme="majorBidi"/>
                <w:b/>
                <w:bCs/>
                <w:sz w:val="14"/>
                <w:szCs w:val="14"/>
                <w:lang w:bidi="ar-IQ"/>
              </w:rPr>
              <w:t xml:space="preserve"> / mother</w:t>
            </w:r>
          </w:p>
        </w:tc>
      </w:tr>
      <w:tr w:rsidR="005E3D90" w:rsidRPr="00CE7C8F" w:rsidTr="00995601">
        <w:trPr>
          <w:trHeight w:hRule="exact" w:val="272"/>
          <w:jc w:val="center"/>
        </w:trPr>
        <w:tc>
          <w:tcPr>
            <w:tcW w:w="1065" w:type="dxa"/>
            <w:vMerge/>
            <w:tcBorders>
              <w:left w:val="thinThickSmallGap" w:sz="12" w:space="0" w:color="auto"/>
              <w:bottom w:val="thinThickSmallGap" w:sz="12" w:space="0" w:color="auto"/>
              <w:right w:val="thinThickSmallGap" w:sz="12" w:space="0" w:color="auto"/>
            </w:tcBorders>
            <w:shd w:val="pct5" w:color="auto" w:fill="auto"/>
            <w:vAlign w:val="center"/>
          </w:tcPr>
          <w:p w:rsidR="005E3D90" w:rsidRPr="00995601" w:rsidRDefault="005E3D90" w:rsidP="00CE7C8F">
            <w:pPr>
              <w:tabs>
                <w:tab w:val="left" w:pos="2795"/>
              </w:tabs>
              <w:bidi w:val="0"/>
              <w:spacing w:before="120"/>
              <w:jc w:val="center"/>
              <w:rPr>
                <w:rFonts w:asciiTheme="majorBidi" w:hAnsiTheme="majorBidi" w:cstheme="majorBidi"/>
                <w:sz w:val="14"/>
                <w:szCs w:val="14"/>
                <w:lang w:bidi="ar-IQ"/>
              </w:rPr>
            </w:pPr>
          </w:p>
        </w:tc>
        <w:tc>
          <w:tcPr>
            <w:tcW w:w="1255" w:type="dxa"/>
            <w:vMerge/>
            <w:tcBorders>
              <w:left w:val="thinThickSmallGap" w:sz="12" w:space="0" w:color="auto"/>
              <w:bottom w:val="thinThickSmallGap" w:sz="12" w:space="0" w:color="auto"/>
            </w:tcBorders>
            <w:vAlign w:val="center"/>
          </w:tcPr>
          <w:p w:rsidR="005E3D90" w:rsidRPr="00995601" w:rsidRDefault="005E3D90" w:rsidP="00CE7C8F">
            <w:pPr>
              <w:tabs>
                <w:tab w:val="left" w:pos="2795"/>
              </w:tabs>
              <w:bidi w:val="0"/>
              <w:spacing w:before="120"/>
              <w:jc w:val="center"/>
              <w:rPr>
                <w:rFonts w:asciiTheme="majorBidi" w:hAnsiTheme="majorBidi" w:cstheme="majorBidi"/>
                <w:sz w:val="14"/>
                <w:szCs w:val="14"/>
                <w:lang w:bidi="ar-IQ"/>
              </w:rPr>
            </w:pPr>
          </w:p>
        </w:tc>
        <w:tc>
          <w:tcPr>
            <w:tcW w:w="1117" w:type="dxa"/>
            <w:vMerge/>
            <w:tcBorders>
              <w:bottom w:val="thinThickSmallGap" w:sz="12" w:space="0" w:color="auto"/>
            </w:tcBorders>
            <w:vAlign w:val="center"/>
          </w:tcPr>
          <w:p w:rsidR="005E3D90" w:rsidRPr="00995601" w:rsidRDefault="005E3D90" w:rsidP="00CE7C8F">
            <w:pPr>
              <w:tabs>
                <w:tab w:val="left" w:pos="2795"/>
              </w:tabs>
              <w:bidi w:val="0"/>
              <w:spacing w:before="120"/>
              <w:jc w:val="center"/>
              <w:rPr>
                <w:rFonts w:asciiTheme="majorBidi" w:hAnsiTheme="majorBidi" w:cstheme="majorBidi"/>
                <w:sz w:val="14"/>
                <w:szCs w:val="14"/>
                <w:lang w:bidi="ar-IQ"/>
              </w:rPr>
            </w:pPr>
          </w:p>
        </w:tc>
        <w:tc>
          <w:tcPr>
            <w:tcW w:w="1255" w:type="dxa"/>
            <w:vMerge/>
            <w:tcBorders>
              <w:bottom w:val="thinThickSmallGap" w:sz="12" w:space="0" w:color="auto"/>
            </w:tcBorders>
            <w:vAlign w:val="center"/>
          </w:tcPr>
          <w:p w:rsidR="005E3D90" w:rsidRPr="00995601" w:rsidRDefault="005E3D90" w:rsidP="00CE7C8F">
            <w:pPr>
              <w:tabs>
                <w:tab w:val="left" w:pos="2795"/>
              </w:tabs>
              <w:bidi w:val="0"/>
              <w:spacing w:before="120"/>
              <w:jc w:val="center"/>
              <w:rPr>
                <w:rFonts w:asciiTheme="majorBidi" w:hAnsiTheme="majorBidi" w:cstheme="majorBidi"/>
                <w:sz w:val="14"/>
                <w:szCs w:val="14"/>
                <w:lang w:bidi="ar-IQ"/>
              </w:rPr>
            </w:pPr>
          </w:p>
        </w:tc>
        <w:tc>
          <w:tcPr>
            <w:tcW w:w="1255" w:type="dxa"/>
            <w:vMerge/>
            <w:tcBorders>
              <w:bottom w:val="thinThickSmallGap" w:sz="12" w:space="0" w:color="auto"/>
            </w:tcBorders>
            <w:vAlign w:val="center"/>
          </w:tcPr>
          <w:p w:rsidR="005E3D90" w:rsidRPr="00995601" w:rsidRDefault="005E3D90" w:rsidP="00CE7C8F">
            <w:pPr>
              <w:tabs>
                <w:tab w:val="left" w:pos="2795"/>
              </w:tabs>
              <w:bidi w:val="0"/>
              <w:spacing w:before="120"/>
              <w:jc w:val="center"/>
              <w:rPr>
                <w:rFonts w:asciiTheme="majorBidi" w:hAnsiTheme="majorBidi" w:cstheme="majorBidi"/>
                <w:sz w:val="14"/>
                <w:szCs w:val="14"/>
                <w:lang w:bidi="ar-IQ"/>
              </w:rPr>
            </w:pPr>
          </w:p>
        </w:tc>
        <w:tc>
          <w:tcPr>
            <w:tcW w:w="1395" w:type="dxa"/>
            <w:tcBorders>
              <w:bottom w:val="thinThickSmallGap" w:sz="12" w:space="0" w:color="auto"/>
            </w:tcBorders>
            <w:vAlign w:val="center"/>
          </w:tcPr>
          <w:p w:rsidR="005E3D90" w:rsidRPr="00995601" w:rsidRDefault="005E3D90" w:rsidP="00CE7C8F">
            <w:pPr>
              <w:tabs>
                <w:tab w:val="left" w:pos="5236"/>
              </w:tabs>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Mean ± S.D</w:t>
            </w:r>
          </w:p>
        </w:tc>
        <w:tc>
          <w:tcPr>
            <w:tcW w:w="925" w:type="dxa"/>
            <w:tcBorders>
              <w:bottom w:val="thinThickSmallGap" w:sz="12" w:space="0" w:color="auto"/>
              <w:right w:val="thinThickSmallGap" w:sz="12" w:space="0" w:color="auto"/>
            </w:tcBorders>
            <w:vAlign w:val="center"/>
          </w:tcPr>
          <w:p w:rsidR="005E3D90" w:rsidRPr="00995601" w:rsidRDefault="005E3D90" w:rsidP="00CE7C8F">
            <w:pPr>
              <w:tabs>
                <w:tab w:val="left" w:pos="5236"/>
              </w:tabs>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w:t>
            </w:r>
          </w:p>
        </w:tc>
      </w:tr>
      <w:tr w:rsidR="005E3D90" w:rsidRPr="00CE7C8F" w:rsidTr="00995601">
        <w:trPr>
          <w:trHeight w:hRule="exact" w:val="249"/>
          <w:jc w:val="center"/>
        </w:trPr>
        <w:tc>
          <w:tcPr>
            <w:tcW w:w="1065" w:type="dxa"/>
            <w:tcBorders>
              <w:top w:val="thinThickSmallGap" w:sz="12" w:space="0" w:color="auto"/>
              <w:left w:val="thinThickSmallGap" w:sz="12" w:space="0" w:color="auto"/>
              <w:right w:val="thinThickSmallGap" w:sz="12" w:space="0" w:color="auto"/>
            </w:tcBorders>
            <w:shd w:val="pct5" w:color="auto" w:fill="auto"/>
            <w:vAlign w:val="center"/>
          </w:tcPr>
          <w:p w:rsidR="005E3D90" w:rsidRPr="00995601" w:rsidRDefault="005E3D90" w:rsidP="00CE7C8F">
            <w:pPr>
              <w:tabs>
                <w:tab w:val="left" w:pos="5236"/>
              </w:tabs>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C</w:t>
            </w:r>
          </w:p>
        </w:tc>
        <w:tc>
          <w:tcPr>
            <w:tcW w:w="1255" w:type="dxa"/>
            <w:tcBorders>
              <w:top w:val="thinThickSmallGap" w:sz="12" w:space="0" w:color="auto"/>
              <w:left w:val="thinThickSmallGap" w:sz="12" w:space="0" w:color="auto"/>
            </w:tcBorders>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29</w:t>
            </w:r>
          </w:p>
        </w:tc>
        <w:tc>
          <w:tcPr>
            <w:tcW w:w="1117" w:type="dxa"/>
            <w:tcBorders>
              <w:top w:val="thinThickSmallGap" w:sz="12" w:space="0" w:color="auto"/>
            </w:tcBorders>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0</w:t>
            </w:r>
          </w:p>
        </w:tc>
        <w:tc>
          <w:tcPr>
            <w:tcW w:w="1255" w:type="dxa"/>
            <w:tcBorders>
              <w:top w:val="thinThickSmallGap" w:sz="12" w:space="0" w:color="auto"/>
            </w:tcBorders>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0</w:t>
            </w:r>
          </w:p>
        </w:tc>
        <w:tc>
          <w:tcPr>
            <w:tcW w:w="1255" w:type="dxa"/>
            <w:tcBorders>
              <w:top w:val="thinThickSmallGap" w:sz="12" w:space="0" w:color="auto"/>
            </w:tcBorders>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29</w:t>
            </w:r>
          </w:p>
        </w:tc>
        <w:tc>
          <w:tcPr>
            <w:tcW w:w="1395" w:type="dxa"/>
            <w:tcBorders>
              <w:top w:val="thinThickSmallGap" w:sz="12" w:space="0" w:color="auto"/>
            </w:tcBorders>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6.98 ± 0.41</w:t>
            </w:r>
          </w:p>
        </w:tc>
        <w:tc>
          <w:tcPr>
            <w:tcW w:w="925" w:type="dxa"/>
            <w:tcBorders>
              <w:top w:val="thinThickSmallGap" w:sz="12" w:space="0" w:color="auto"/>
              <w:right w:val="thinThickSmallGap" w:sz="12" w:space="0" w:color="auto"/>
            </w:tcBorders>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100</w:t>
            </w:r>
          </w:p>
        </w:tc>
      </w:tr>
      <w:tr w:rsidR="005E3D90" w:rsidRPr="00CE7C8F" w:rsidTr="00995601">
        <w:trPr>
          <w:trHeight w:hRule="exact" w:val="249"/>
          <w:jc w:val="center"/>
        </w:trPr>
        <w:tc>
          <w:tcPr>
            <w:tcW w:w="1065" w:type="dxa"/>
            <w:tcBorders>
              <w:left w:val="thinThickSmallGap" w:sz="12" w:space="0" w:color="auto"/>
              <w:right w:val="thinThickSmallGap" w:sz="12" w:space="0" w:color="auto"/>
            </w:tcBorders>
            <w:shd w:val="pct5" w:color="auto" w:fill="auto"/>
            <w:vAlign w:val="center"/>
          </w:tcPr>
          <w:p w:rsidR="005E3D90" w:rsidRPr="00995601" w:rsidRDefault="005E3D90" w:rsidP="00CE7C8F">
            <w:pPr>
              <w:tabs>
                <w:tab w:val="left" w:pos="5236"/>
              </w:tabs>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G1</w:t>
            </w:r>
          </w:p>
        </w:tc>
        <w:tc>
          <w:tcPr>
            <w:tcW w:w="1255" w:type="dxa"/>
            <w:tcBorders>
              <w:left w:val="thinThickSmallGap" w:sz="12" w:space="0" w:color="auto"/>
            </w:tcBorders>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20</w:t>
            </w:r>
          </w:p>
        </w:tc>
        <w:tc>
          <w:tcPr>
            <w:tcW w:w="1117" w:type="dxa"/>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1</w:t>
            </w:r>
          </w:p>
        </w:tc>
        <w:tc>
          <w:tcPr>
            <w:tcW w:w="1255" w:type="dxa"/>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5.0</w:t>
            </w:r>
          </w:p>
        </w:tc>
        <w:tc>
          <w:tcPr>
            <w:tcW w:w="1255" w:type="dxa"/>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17</w:t>
            </w:r>
          </w:p>
        </w:tc>
        <w:tc>
          <w:tcPr>
            <w:tcW w:w="1395" w:type="dxa"/>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6.15 ± 0.23</w:t>
            </w:r>
          </w:p>
        </w:tc>
        <w:tc>
          <w:tcPr>
            <w:tcW w:w="925" w:type="dxa"/>
            <w:tcBorders>
              <w:right w:val="thinThickSmallGap" w:sz="12" w:space="0" w:color="auto"/>
            </w:tcBorders>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88.11</w:t>
            </w:r>
          </w:p>
        </w:tc>
      </w:tr>
      <w:tr w:rsidR="005E3D90" w:rsidRPr="00CE7C8F" w:rsidTr="00995601">
        <w:trPr>
          <w:trHeight w:hRule="exact" w:val="249"/>
          <w:jc w:val="center"/>
        </w:trPr>
        <w:tc>
          <w:tcPr>
            <w:tcW w:w="1065" w:type="dxa"/>
            <w:tcBorders>
              <w:left w:val="thinThickSmallGap" w:sz="12" w:space="0" w:color="auto"/>
              <w:bottom w:val="thinThickSmallGap" w:sz="12" w:space="0" w:color="auto"/>
              <w:right w:val="thinThickSmallGap" w:sz="12" w:space="0" w:color="auto"/>
            </w:tcBorders>
            <w:shd w:val="pct5" w:color="auto" w:fill="auto"/>
            <w:vAlign w:val="center"/>
          </w:tcPr>
          <w:p w:rsidR="005E3D90" w:rsidRPr="00995601" w:rsidRDefault="005E3D90" w:rsidP="00CE7C8F">
            <w:pPr>
              <w:tabs>
                <w:tab w:val="left" w:pos="5236"/>
              </w:tabs>
              <w:bidi w:val="0"/>
              <w:jc w:val="center"/>
              <w:rPr>
                <w:rFonts w:asciiTheme="majorBidi" w:hAnsiTheme="majorBidi" w:cstheme="majorBidi"/>
                <w:b/>
                <w:bCs/>
                <w:sz w:val="14"/>
                <w:szCs w:val="14"/>
                <w:lang w:bidi="ar-IQ"/>
              </w:rPr>
            </w:pPr>
            <w:r w:rsidRPr="00995601">
              <w:rPr>
                <w:rFonts w:asciiTheme="majorBidi" w:hAnsiTheme="majorBidi" w:cstheme="majorBidi"/>
                <w:b/>
                <w:bCs/>
                <w:sz w:val="14"/>
                <w:szCs w:val="14"/>
                <w:lang w:bidi="ar-IQ"/>
              </w:rPr>
              <w:t>G2</w:t>
            </w:r>
          </w:p>
        </w:tc>
        <w:tc>
          <w:tcPr>
            <w:tcW w:w="1255" w:type="dxa"/>
            <w:tcBorders>
              <w:left w:val="thinThickSmallGap" w:sz="12" w:space="0" w:color="auto"/>
              <w:bottom w:val="thinThickSmallGap" w:sz="12" w:space="0" w:color="auto"/>
            </w:tcBorders>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12</w:t>
            </w:r>
          </w:p>
        </w:tc>
        <w:tc>
          <w:tcPr>
            <w:tcW w:w="1117" w:type="dxa"/>
            <w:tcBorders>
              <w:bottom w:val="thinThickSmallGap" w:sz="12" w:space="0" w:color="auto"/>
            </w:tcBorders>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3</w:t>
            </w:r>
          </w:p>
        </w:tc>
        <w:tc>
          <w:tcPr>
            <w:tcW w:w="1255" w:type="dxa"/>
            <w:tcBorders>
              <w:bottom w:val="thinThickSmallGap" w:sz="12" w:space="0" w:color="auto"/>
            </w:tcBorders>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25.0</w:t>
            </w:r>
          </w:p>
        </w:tc>
        <w:tc>
          <w:tcPr>
            <w:tcW w:w="1255" w:type="dxa"/>
            <w:tcBorders>
              <w:bottom w:val="thinThickSmallGap" w:sz="12" w:space="0" w:color="auto"/>
            </w:tcBorders>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8</w:t>
            </w:r>
          </w:p>
        </w:tc>
        <w:tc>
          <w:tcPr>
            <w:tcW w:w="1395" w:type="dxa"/>
            <w:tcBorders>
              <w:bottom w:val="thinThickSmallGap" w:sz="12" w:space="0" w:color="auto"/>
            </w:tcBorders>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4.82 ± 1.55</w:t>
            </w:r>
          </w:p>
        </w:tc>
        <w:tc>
          <w:tcPr>
            <w:tcW w:w="925" w:type="dxa"/>
            <w:tcBorders>
              <w:bottom w:val="thinThickSmallGap" w:sz="12" w:space="0" w:color="auto"/>
              <w:right w:val="thinThickSmallGap" w:sz="12" w:space="0" w:color="auto"/>
            </w:tcBorders>
            <w:vAlign w:val="center"/>
          </w:tcPr>
          <w:p w:rsidR="005E3D90" w:rsidRPr="00CE7C8F" w:rsidRDefault="005E3D90" w:rsidP="00CE7C8F">
            <w:pPr>
              <w:tabs>
                <w:tab w:val="left" w:pos="5236"/>
              </w:tabs>
              <w:bidi w:val="0"/>
              <w:jc w:val="center"/>
              <w:rPr>
                <w:rFonts w:asciiTheme="majorBidi" w:hAnsiTheme="majorBidi" w:cstheme="majorBidi"/>
                <w:sz w:val="16"/>
                <w:szCs w:val="16"/>
                <w:lang w:bidi="ar-IQ"/>
              </w:rPr>
            </w:pPr>
            <w:r w:rsidRPr="00CE7C8F">
              <w:rPr>
                <w:rFonts w:asciiTheme="majorBidi" w:hAnsiTheme="majorBidi" w:cstheme="majorBidi"/>
                <w:sz w:val="16"/>
                <w:szCs w:val="16"/>
                <w:lang w:bidi="ar-IQ"/>
              </w:rPr>
              <w:t>69.05</w:t>
            </w:r>
          </w:p>
        </w:tc>
      </w:tr>
    </w:tbl>
    <w:p w:rsidR="005E3D90" w:rsidRPr="00CE7C8F" w:rsidRDefault="005E3D90" w:rsidP="00995601">
      <w:pPr>
        <w:tabs>
          <w:tab w:val="right" w:pos="900"/>
        </w:tabs>
        <w:autoSpaceDE w:val="0"/>
        <w:autoSpaceDN w:val="0"/>
        <w:bidi w:val="0"/>
        <w:adjustRightInd w:val="0"/>
        <w:spacing w:before="240" w:line="360" w:lineRule="auto"/>
        <w:jc w:val="center"/>
        <w:rPr>
          <w:rFonts w:asciiTheme="majorBidi" w:hAnsiTheme="majorBidi" w:cstheme="majorBidi"/>
          <w:b/>
          <w:bCs/>
          <w:sz w:val="16"/>
          <w:szCs w:val="16"/>
        </w:rPr>
      </w:pPr>
      <w:r w:rsidRPr="00CE7C8F">
        <w:rPr>
          <w:rFonts w:asciiTheme="majorBidi" w:hAnsiTheme="majorBidi" w:cstheme="majorBidi"/>
          <w:b/>
          <w:bCs/>
          <w:sz w:val="16"/>
          <w:szCs w:val="16"/>
        </w:rPr>
        <w:t>Table 4: the percentage of aborted treated females and fetuses/mother maternally treated with TCE.</w:t>
      </w:r>
    </w:p>
    <w:p w:rsidR="005E3D90" w:rsidRPr="005E3D90" w:rsidRDefault="005E3D90" w:rsidP="00995601">
      <w:pPr>
        <w:tabs>
          <w:tab w:val="right" w:pos="900"/>
        </w:tabs>
        <w:autoSpaceDE w:val="0"/>
        <w:autoSpaceDN w:val="0"/>
        <w:bidi w:val="0"/>
        <w:adjustRightInd w:val="0"/>
        <w:spacing w:before="240" w:line="360" w:lineRule="auto"/>
        <w:jc w:val="center"/>
        <w:rPr>
          <w:rFonts w:asciiTheme="majorBidi" w:hAnsiTheme="majorBidi" w:cstheme="majorBidi"/>
          <w:b/>
          <w:bCs/>
          <w:sz w:val="24"/>
          <w:szCs w:val="24"/>
        </w:rPr>
      </w:pPr>
      <w:r w:rsidRPr="005E3D90">
        <w:rPr>
          <w:rFonts w:asciiTheme="majorBidi" w:hAnsiTheme="majorBidi" w:cstheme="majorBidi"/>
          <w:b/>
          <w:bCs/>
          <w:noProof/>
          <w:sz w:val="24"/>
          <w:szCs w:val="24"/>
        </w:rPr>
        <w:drawing>
          <wp:inline distT="0" distB="0" distL="0" distR="0">
            <wp:extent cx="4419600" cy="1270000"/>
            <wp:effectExtent l="19050" t="0" r="19050" b="635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E3D90" w:rsidRPr="00CE7C8F" w:rsidRDefault="005E3D90" w:rsidP="0097660E">
      <w:pPr>
        <w:tabs>
          <w:tab w:val="right" w:pos="900"/>
        </w:tabs>
        <w:autoSpaceDE w:val="0"/>
        <w:autoSpaceDN w:val="0"/>
        <w:bidi w:val="0"/>
        <w:adjustRightInd w:val="0"/>
        <w:spacing w:after="0" w:line="240" w:lineRule="auto"/>
        <w:jc w:val="center"/>
        <w:rPr>
          <w:rFonts w:asciiTheme="majorBidi" w:hAnsiTheme="majorBidi" w:cstheme="majorBidi"/>
          <w:b/>
          <w:bCs/>
          <w:sz w:val="16"/>
          <w:szCs w:val="16"/>
        </w:rPr>
      </w:pPr>
      <w:r w:rsidRPr="00CE7C8F">
        <w:rPr>
          <w:rFonts w:asciiTheme="majorBidi" w:hAnsiTheme="majorBidi" w:cstheme="majorBidi"/>
          <w:b/>
          <w:bCs/>
          <w:sz w:val="16"/>
          <w:szCs w:val="16"/>
        </w:rPr>
        <w:t xml:space="preserve">Fig. 4: The percentage of aborted females, </w:t>
      </w:r>
      <w:proofErr w:type="spellStart"/>
      <w:r w:rsidRPr="00CE7C8F">
        <w:rPr>
          <w:rFonts w:asciiTheme="majorBidi" w:hAnsiTheme="majorBidi" w:cstheme="majorBidi"/>
          <w:b/>
          <w:bCs/>
          <w:sz w:val="16"/>
          <w:szCs w:val="16"/>
        </w:rPr>
        <w:t>foetuses</w:t>
      </w:r>
      <w:proofErr w:type="spellEnd"/>
      <w:r w:rsidRPr="00CE7C8F">
        <w:rPr>
          <w:rFonts w:asciiTheme="majorBidi" w:hAnsiTheme="majorBidi" w:cstheme="majorBidi"/>
          <w:b/>
          <w:bCs/>
          <w:sz w:val="16"/>
          <w:szCs w:val="16"/>
        </w:rPr>
        <w:t xml:space="preserve">/mother, stillbirth, </w:t>
      </w:r>
      <w:proofErr w:type="spellStart"/>
      <w:r w:rsidRPr="00CE7C8F">
        <w:rPr>
          <w:rFonts w:asciiTheme="majorBidi" w:hAnsiTheme="majorBidi" w:cstheme="majorBidi"/>
          <w:b/>
          <w:bCs/>
          <w:sz w:val="16"/>
          <w:szCs w:val="16"/>
        </w:rPr>
        <w:t>resorbed</w:t>
      </w:r>
      <w:proofErr w:type="spellEnd"/>
      <w:r w:rsidRPr="00CE7C8F">
        <w:rPr>
          <w:rFonts w:asciiTheme="majorBidi" w:hAnsiTheme="majorBidi" w:cstheme="majorBidi"/>
          <w:b/>
          <w:bCs/>
          <w:sz w:val="16"/>
          <w:szCs w:val="16"/>
        </w:rPr>
        <w:t xml:space="preserve"> </w:t>
      </w:r>
      <w:proofErr w:type="spellStart"/>
      <w:r w:rsidRPr="00CE7C8F">
        <w:rPr>
          <w:rFonts w:asciiTheme="majorBidi" w:hAnsiTheme="majorBidi" w:cstheme="majorBidi"/>
          <w:b/>
          <w:bCs/>
          <w:sz w:val="16"/>
          <w:szCs w:val="16"/>
        </w:rPr>
        <w:t>foetuses</w:t>
      </w:r>
      <w:proofErr w:type="spellEnd"/>
      <w:r w:rsidRPr="00CE7C8F">
        <w:rPr>
          <w:rFonts w:asciiTheme="majorBidi" w:hAnsiTheme="majorBidi" w:cstheme="majorBidi"/>
          <w:b/>
          <w:bCs/>
          <w:sz w:val="16"/>
          <w:szCs w:val="16"/>
        </w:rPr>
        <w:t xml:space="preserve">, and total </w:t>
      </w:r>
      <w:proofErr w:type="spellStart"/>
      <w:r w:rsidRPr="00CE7C8F">
        <w:rPr>
          <w:rFonts w:asciiTheme="majorBidi" w:hAnsiTheme="majorBidi" w:cstheme="majorBidi"/>
          <w:b/>
          <w:bCs/>
          <w:sz w:val="16"/>
          <w:szCs w:val="16"/>
        </w:rPr>
        <w:t>foetal</w:t>
      </w:r>
      <w:proofErr w:type="spellEnd"/>
      <w:r w:rsidRPr="00CE7C8F">
        <w:rPr>
          <w:rFonts w:asciiTheme="majorBidi" w:hAnsiTheme="majorBidi" w:cstheme="majorBidi"/>
          <w:b/>
          <w:bCs/>
          <w:sz w:val="16"/>
          <w:szCs w:val="16"/>
        </w:rPr>
        <w:t xml:space="preserve"> mortality.</w:t>
      </w:r>
    </w:p>
    <w:p w:rsidR="004C6F43" w:rsidRPr="00C71AD6" w:rsidRDefault="004C6F43" w:rsidP="0097660E">
      <w:pPr>
        <w:bidi w:val="0"/>
        <w:spacing w:before="100" w:beforeAutospacing="1" w:after="0" w:line="360" w:lineRule="auto"/>
        <w:ind w:left="-74"/>
        <w:jc w:val="both"/>
        <w:rPr>
          <w:rStyle w:val="PageNumber"/>
          <w:rFonts w:asciiTheme="majorBidi" w:hAnsiTheme="majorBidi" w:cstheme="majorBidi"/>
          <w:sz w:val="24"/>
          <w:szCs w:val="24"/>
        </w:rPr>
      </w:pPr>
      <w:r w:rsidRPr="00C71AD6">
        <w:rPr>
          <w:rFonts w:asciiTheme="majorBidi" w:hAnsiTheme="majorBidi" w:cstheme="majorBidi"/>
          <w:b/>
          <w:bCs/>
          <w:sz w:val="24"/>
          <w:szCs w:val="24"/>
        </w:rPr>
        <w:t>6</w:t>
      </w:r>
      <w:r w:rsidRPr="00C71AD6">
        <w:rPr>
          <w:rFonts w:asciiTheme="majorBidi" w:hAnsiTheme="majorBidi" w:cstheme="majorBidi"/>
          <w:b/>
          <w:bCs/>
          <w:sz w:val="24"/>
          <w:szCs w:val="24"/>
          <w:vertAlign w:val="superscript"/>
        </w:rPr>
        <w:t>th</w:t>
      </w:r>
      <w:r w:rsidRPr="00C71AD6">
        <w:rPr>
          <w:rFonts w:asciiTheme="majorBidi" w:hAnsiTheme="majorBidi" w:cstheme="majorBidi"/>
          <w:b/>
          <w:bCs/>
          <w:sz w:val="24"/>
          <w:szCs w:val="24"/>
        </w:rPr>
        <w:t xml:space="preserve"> day embryo </w:t>
      </w:r>
      <w:proofErr w:type="gramStart"/>
      <w:r w:rsidRPr="00C71AD6">
        <w:rPr>
          <w:rFonts w:asciiTheme="majorBidi" w:hAnsiTheme="majorBidi" w:cstheme="majorBidi"/>
          <w:b/>
          <w:bCs/>
          <w:sz w:val="24"/>
          <w:szCs w:val="24"/>
        </w:rPr>
        <w:t xml:space="preserve">(132 </w:t>
      </w:r>
      <w:proofErr w:type="spellStart"/>
      <w:r w:rsidRPr="00C71AD6">
        <w:rPr>
          <w:rFonts w:asciiTheme="majorBidi" w:hAnsiTheme="majorBidi" w:cstheme="majorBidi"/>
          <w:b/>
          <w:bCs/>
          <w:sz w:val="24"/>
          <w:szCs w:val="24"/>
        </w:rPr>
        <w:t>h.P.C</w:t>
      </w:r>
      <w:proofErr w:type="spellEnd"/>
      <w:r w:rsidRPr="00C71AD6">
        <w:rPr>
          <w:rFonts w:asciiTheme="majorBidi" w:hAnsiTheme="majorBidi" w:cstheme="majorBidi"/>
          <w:b/>
          <w:bCs/>
          <w:sz w:val="24"/>
          <w:szCs w:val="24"/>
        </w:rPr>
        <w:t>)</w:t>
      </w:r>
      <w:proofErr w:type="gramEnd"/>
    </w:p>
    <w:p w:rsidR="00E212D8" w:rsidRPr="00C71AD6" w:rsidRDefault="004C6F43" w:rsidP="0097660E">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At this stage, the uterine epithelium has disappeared completely from around the circumference of the developing embryo. The epithelial basement membrane is not present and the egg-cylinder is embedded in a mass of </w:t>
      </w:r>
      <w:proofErr w:type="spellStart"/>
      <w:r w:rsidRPr="00C71AD6">
        <w:rPr>
          <w:rStyle w:val="PageNumber"/>
          <w:rFonts w:asciiTheme="majorBidi" w:hAnsiTheme="majorBidi" w:cstheme="majorBidi"/>
          <w:sz w:val="24"/>
          <w:szCs w:val="24"/>
        </w:rPr>
        <w:t>decidual</w:t>
      </w:r>
      <w:proofErr w:type="spellEnd"/>
      <w:r w:rsidRPr="00C71AD6">
        <w:rPr>
          <w:rStyle w:val="PageNumber"/>
          <w:rFonts w:asciiTheme="majorBidi" w:hAnsiTheme="majorBidi" w:cstheme="majorBidi"/>
          <w:sz w:val="24"/>
          <w:szCs w:val="24"/>
        </w:rPr>
        <w:t xml:space="preserve"> tissue and has differentiated into its basic layers (Fig.</w:t>
      </w:r>
      <w:r w:rsidR="006B648D" w:rsidRPr="00C71AD6">
        <w:rPr>
          <w:rStyle w:val="PageNumber"/>
          <w:rFonts w:asciiTheme="majorBidi" w:hAnsiTheme="majorBidi" w:cstheme="majorBidi"/>
          <w:sz w:val="24"/>
          <w:szCs w:val="24"/>
        </w:rPr>
        <w:t xml:space="preserve"> </w:t>
      </w:r>
      <w:r w:rsidR="0097660E">
        <w:rPr>
          <w:rStyle w:val="PageNumber"/>
          <w:rFonts w:asciiTheme="majorBidi" w:hAnsiTheme="majorBidi" w:cstheme="majorBidi"/>
          <w:sz w:val="24"/>
          <w:szCs w:val="24"/>
        </w:rPr>
        <w:t>5</w:t>
      </w:r>
      <w:r w:rsidRPr="00C71AD6">
        <w:rPr>
          <w:rStyle w:val="PageNumber"/>
          <w:rFonts w:asciiTheme="majorBidi" w:hAnsiTheme="majorBidi" w:cstheme="majorBidi"/>
          <w:sz w:val="24"/>
          <w:szCs w:val="24"/>
        </w:rPr>
        <w:t xml:space="preserve">). The embryo consists of three regions; </w:t>
      </w:r>
      <w:proofErr w:type="spellStart"/>
      <w:r w:rsidRPr="00C71AD6">
        <w:rPr>
          <w:rStyle w:val="PageNumber"/>
          <w:rFonts w:asciiTheme="majorBidi" w:hAnsiTheme="majorBidi" w:cstheme="majorBidi"/>
          <w:sz w:val="24"/>
          <w:szCs w:val="24"/>
        </w:rPr>
        <w:t>ectoplacental</w:t>
      </w:r>
      <w:proofErr w:type="spellEnd"/>
      <w:r w:rsidRPr="00C71AD6">
        <w:rPr>
          <w:rStyle w:val="PageNumber"/>
          <w:rFonts w:asciiTheme="majorBidi" w:hAnsiTheme="majorBidi" w:cstheme="majorBidi"/>
          <w:sz w:val="24"/>
          <w:szCs w:val="24"/>
        </w:rPr>
        <w:t xml:space="preserve"> cone,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and embryonic regions. Proximal endoderm, distal endoderm and </w:t>
      </w:r>
      <w:proofErr w:type="spellStart"/>
      <w:r w:rsidRPr="00C71AD6">
        <w:rPr>
          <w:rStyle w:val="PageNumber"/>
          <w:rFonts w:asciiTheme="majorBidi" w:hAnsiTheme="majorBidi" w:cstheme="majorBidi"/>
          <w:sz w:val="24"/>
          <w:szCs w:val="24"/>
        </w:rPr>
        <w:t>trophectoderm</w:t>
      </w:r>
      <w:proofErr w:type="spellEnd"/>
      <w:r w:rsidRPr="00C71AD6">
        <w:rPr>
          <w:rStyle w:val="PageNumber"/>
          <w:rFonts w:asciiTheme="majorBidi" w:hAnsiTheme="majorBidi" w:cstheme="majorBidi"/>
          <w:sz w:val="24"/>
          <w:szCs w:val="24"/>
        </w:rPr>
        <w:t xml:space="preserve"> are identified respectively around the central cylinder. A </w:t>
      </w:r>
      <w:proofErr w:type="spellStart"/>
      <w:r w:rsidRPr="00C71AD6">
        <w:rPr>
          <w:rStyle w:val="PageNumber"/>
          <w:rFonts w:asciiTheme="majorBidi" w:hAnsiTheme="majorBidi" w:cstheme="majorBidi"/>
          <w:sz w:val="24"/>
          <w:szCs w:val="24"/>
        </w:rPr>
        <w:t>proamniotic</w:t>
      </w:r>
      <w:proofErr w:type="spellEnd"/>
      <w:r w:rsidRPr="00C71AD6">
        <w:rPr>
          <w:rStyle w:val="PageNumber"/>
          <w:rFonts w:asciiTheme="majorBidi" w:hAnsiTheme="majorBidi" w:cstheme="majorBidi"/>
          <w:sz w:val="24"/>
          <w:szCs w:val="24"/>
        </w:rPr>
        <w:t xml:space="preserve"> cavity appears in the centre of the embryonic ectoderm, followed by another cavity in the centre of the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ectoderm. The two cavities are joined together to form an elongated cavity later. The yolk-sac cavity is present between th</w:t>
      </w:r>
      <w:r w:rsidR="00E212D8" w:rsidRPr="00C71AD6">
        <w:rPr>
          <w:rStyle w:val="PageNumber"/>
          <w:rFonts w:asciiTheme="majorBidi" w:hAnsiTheme="majorBidi" w:cstheme="majorBidi"/>
          <w:sz w:val="24"/>
          <w:szCs w:val="24"/>
        </w:rPr>
        <w:t xml:space="preserve">e proximal and distal </w:t>
      </w:r>
      <w:proofErr w:type="spellStart"/>
      <w:r w:rsidR="00E212D8" w:rsidRPr="00C71AD6">
        <w:rPr>
          <w:rStyle w:val="PageNumber"/>
          <w:rFonts w:asciiTheme="majorBidi" w:hAnsiTheme="majorBidi" w:cstheme="majorBidi"/>
          <w:sz w:val="24"/>
          <w:szCs w:val="24"/>
        </w:rPr>
        <w:t>endoderms</w:t>
      </w:r>
      <w:proofErr w:type="spellEnd"/>
      <w:r w:rsidR="00E212D8" w:rsidRPr="00C71AD6">
        <w:rPr>
          <w:rStyle w:val="PageNumber"/>
          <w:rFonts w:asciiTheme="majorBidi" w:hAnsiTheme="majorBidi" w:cstheme="majorBidi"/>
          <w:sz w:val="24"/>
          <w:szCs w:val="24"/>
        </w:rPr>
        <w:t xml:space="preserve">. </w:t>
      </w:r>
    </w:p>
    <w:p w:rsidR="004C6F43" w:rsidRPr="00C71AD6" w:rsidRDefault="004C6F43" w:rsidP="005E3D90">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w:t>
      </w:r>
      <w:proofErr w:type="spellStart"/>
      <w:r w:rsidRPr="00C71AD6">
        <w:rPr>
          <w:rStyle w:val="PageNumber"/>
          <w:rFonts w:asciiTheme="majorBidi" w:hAnsiTheme="majorBidi" w:cstheme="majorBidi"/>
          <w:sz w:val="24"/>
          <w:szCs w:val="24"/>
        </w:rPr>
        <w:t>ectoplacental</w:t>
      </w:r>
      <w:proofErr w:type="spellEnd"/>
      <w:r w:rsidRPr="00C71AD6">
        <w:rPr>
          <w:rStyle w:val="PageNumber"/>
          <w:rFonts w:asciiTheme="majorBidi" w:hAnsiTheme="majorBidi" w:cstheme="majorBidi"/>
          <w:sz w:val="24"/>
          <w:szCs w:val="24"/>
        </w:rPr>
        <w:t xml:space="preserve"> cone connects the embryo ventrally and extended dorsally towards the lumen of the uterus. This cone is formed by proliferation of the dorsal portion of the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ectoderm and </w:t>
      </w:r>
      <w:proofErr w:type="spellStart"/>
      <w:r w:rsidRPr="00C71AD6">
        <w:rPr>
          <w:rStyle w:val="PageNumber"/>
          <w:rFonts w:asciiTheme="majorBidi" w:hAnsiTheme="majorBidi" w:cstheme="majorBidi"/>
          <w:sz w:val="24"/>
          <w:szCs w:val="24"/>
        </w:rPr>
        <w:t>trophectoderm</w:t>
      </w:r>
      <w:proofErr w:type="spellEnd"/>
      <w:r w:rsidRPr="00C71AD6">
        <w:rPr>
          <w:rStyle w:val="PageNumber"/>
          <w:rFonts w:asciiTheme="majorBidi" w:hAnsiTheme="majorBidi" w:cstheme="majorBidi"/>
          <w:sz w:val="24"/>
          <w:szCs w:val="24"/>
        </w:rPr>
        <w:t xml:space="preserve"> that found at this region. This structure is a mass </w:t>
      </w:r>
      <w:r w:rsidRPr="00C71AD6">
        <w:rPr>
          <w:rStyle w:val="PageNumber"/>
          <w:rFonts w:asciiTheme="majorBidi" w:hAnsiTheme="majorBidi" w:cstheme="majorBidi"/>
          <w:sz w:val="24"/>
          <w:szCs w:val="24"/>
        </w:rPr>
        <w:lastRenderedPageBreak/>
        <w:t>of round or polygonal cells with ovoid nuclei. It exhibits a porous appearance at this upper extremity where mother blood fills its interspaces.</w:t>
      </w:r>
    </w:p>
    <w:p w:rsidR="004C6F43" w:rsidRPr="00C71AD6" w:rsidRDefault="004C6F43" w:rsidP="005E3D90">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proximal endoderm is identified around the egg-cylinder and lines the proximal wall of the yolk-sac cavity. This layer is consisted of </w:t>
      </w:r>
      <w:proofErr w:type="spellStart"/>
      <w:r w:rsidRPr="00C71AD6">
        <w:rPr>
          <w:rStyle w:val="PageNumber"/>
          <w:rFonts w:asciiTheme="majorBidi" w:hAnsiTheme="majorBidi" w:cstheme="majorBidi"/>
          <w:sz w:val="24"/>
          <w:szCs w:val="24"/>
        </w:rPr>
        <w:t>cuboidal</w:t>
      </w:r>
      <w:proofErr w:type="spellEnd"/>
      <w:r w:rsidRPr="00C71AD6">
        <w:rPr>
          <w:rStyle w:val="PageNumber"/>
          <w:rFonts w:asciiTheme="majorBidi" w:hAnsiTheme="majorBidi" w:cstheme="majorBidi"/>
          <w:sz w:val="24"/>
          <w:szCs w:val="24"/>
        </w:rPr>
        <w:t xml:space="preserve"> or low columnar cells found mainly at the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region of the embryo. Their cytoplasm is moderately </w:t>
      </w:r>
      <w:proofErr w:type="spellStart"/>
      <w:r w:rsidRPr="00C71AD6">
        <w:rPr>
          <w:rStyle w:val="PageNumber"/>
          <w:rFonts w:asciiTheme="majorBidi" w:hAnsiTheme="majorBidi" w:cstheme="majorBidi"/>
          <w:sz w:val="24"/>
          <w:szCs w:val="24"/>
        </w:rPr>
        <w:t>eosinophilic</w:t>
      </w:r>
      <w:proofErr w:type="spellEnd"/>
      <w:r w:rsidRPr="00C71AD6">
        <w:rPr>
          <w:rStyle w:val="PageNumber"/>
          <w:rFonts w:asciiTheme="majorBidi" w:hAnsiTheme="majorBidi" w:cstheme="majorBidi"/>
          <w:sz w:val="24"/>
          <w:szCs w:val="24"/>
        </w:rPr>
        <w:t xml:space="preserve"> with basically located basophilic stained nuclei. Some vacuoles of different sizes are found in the supra-nuclear cytoplasm. The proximal </w:t>
      </w:r>
      <w:proofErr w:type="spellStart"/>
      <w:r w:rsidRPr="00C71AD6">
        <w:rPr>
          <w:rStyle w:val="PageNumber"/>
          <w:rFonts w:asciiTheme="majorBidi" w:hAnsiTheme="majorBidi" w:cstheme="majorBidi"/>
          <w:sz w:val="24"/>
          <w:szCs w:val="24"/>
        </w:rPr>
        <w:t>endodermal</w:t>
      </w:r>
      <w:proofErr w:type="spellEnd"/>
      <w:r w:rsidRPr="00C71AD6">
        <w:rPr>
          <w:rStyle w:val="PageNumber"/>
          <w:rFonts w:asciiTheme="majorBidi" w:hAnsiTheme="majorBidi" w:cstheme="majorBidi"/>
          <w:sz w:val="24"/>
          <w:szCs w:val="24"/>
        </w:rPr>
        <w:t xml:space="preserve"> cells are arranged in one layer with unbound surfaces. These cells are gradually </w:t>
      </w:r>
      <w:r w:rsidR="006B648D" w:rsidRPr="00C71AD6">
        <w:rPr>
          <w:rStyle w:val="PageNumber"/>
          <w:rFonts w:asciiTheme="majorBidi" w:hAnsiTheme="majorBidi" w:cstheme="majorBidi"/>
          <w:sz w:val="24"/>
          <w:szCs w:val="24"/>
        </w:rPr>
        <w:t>changing</w:t>
      </w:r>
      <w:r w:rsidRPr="00C71AD6">
        <w:rPr>
          <w:rStyle w:val="PageNumber"/>
          <w:rFonts w:asciiTheme="majorBidi" w:hAnsiTheme="majorBidi" w:cstheme="majorBidi"/>
          <w:sz w:val="24"/>
          <w:szCs w:val="24"/>
        </w:rPr>
        <w:t xml:space="preserve"> their shape in the direction of the </w:t>
      </w:r>
      <w:proofErr w:type="spellStart"/>
      <w:r w:rsidRPr="00C71AD6">
        <w:rPr>
          <w:rStyle w:val="PageNumber"/>
          <w:rFonts w:asciiTheme="majorBidi" w:hAnsiTheme="majorBidi" w:cstheme="majorBidi"/>
          <w:sz w:val="24"/>
          <w:szCs w:val="24"/>
        </w:rPr>
        <w:t>antimesometrial</w:t>
      </w:r>
      <w:proofErr w:type="spellEnd"/>
      <w:r w:rsidRPr="00C71AD6">
        <w:rPr>
          <w:rStyle w:val="PageNumber"/>
          <w:rFonts w:asciiTheme="majorBidi" w:hAnsiTheme="majorBidi" w:cstheme="majorBidi"/>
          <w:sz w:val="24"/>
          <w:szCs w:val="24"/>
        </w:rPr>
        <w:t xml:space="preserve"> pole of the embryo. They become flattened or cylindrical in shape. </w:t>
      </w:r>
    </w:p>
    <w:p w:rsidR="004C6F43" w:rsidRPr="00C71AD6" w:rsidRDefault="004C6F43" w:rsidP="00AB0379">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distal endoderm is extended from the proximal endoderm over the inner surface of the </w:t>
      </w:r>
      <w:proofErr w:type="spellStart"/>
      <w:r w:rsidRPr="00C71AD6">
        <w:rPr>
          <w:rStyle w:val="PageNumber"/>
          <w:rFonts w:asciiTheme="majorBidi" w:hAnsiTheme="majorBidi" w:cstheme="majorBidi"/>
          <w:sz w:val="24"/>
          <w:szCs w:val="24"/>
        </w:rPr>
        <w:t>trophectoderm</w:t>
      </w:r>
      <w:proofErr w:type="spellEnd"/>
      <w:r w:rsidRPr="00C71AD6">
        <w:rPr>
          <w:rStyle w:val="PageNumber"/>
          <w:rFonts w:asciiTheme="majorBidi" w:hAnsiTheme="majorBidi" w:cstheme="majorBidi"/>
          <w:sz w:val="24"/>
          <w:szCs w:val="24"/>
        </w:rPr>
        <w:t xml:space="preserve"> and lines the distal wall of the yolk-sac cavity (Fig. </w:t>
      </w:r>
      <w:r w:rsidR="00AB0379">
        <w:rPr>
          <w:rStyle w:val="PageNumber"/>
          <w:rFonts w:asciiTheme="majorBidi" w:hAnsiTheme="majorBidi" w:cstheme="majorBidi"/>
          <w:sz w:val="24"/>
          <w:szCs w:val="24"/>
        </w:rPr>
        <w:t>5</w:t>
      </w:r>
      <w:r w:rsidRPr="00C71AD6">
        <w:rPr>
          <w:rStyle w:val="PageNumber"/>
          <w:rFonts w:asciiTheme="majorBidi" w:hAnsiTheme="majorBidi" w:cstheme="majorBidi"/>
          <w:sz w:val="24"/>
          <w:szCs w:val="24"/>
        </w:rPr>
        <w:t xml:space="preserve">). This layer of the endoderm is consisted from a single raw of flattened cells having nearly the same </w:t>
      </w:r>
      <w:proofErr w:type="spellStart"/>
      <w:r w:rsidRPr="00C71AD6">
        <w:rPr>
          <w:rStyle w:val="PageNumber"/>
          <w:rFonts w:asciiTheme="majorBidi" w:hAnsiTheme="majorBidi" w:cstheme="majorBidi"/>
          <w:sz w:val="24"/>
          <w:szCs w:val="24"/>
        </w:rPr>
        <w:t>stainability</w:t>
      </w:r>
      <w:proofErr w:type="spellEnd"/>
      <w:r w:rsidRPr="00C71AD6">
        <w:rPr>
          <w:rStyle w:val="PageNumber"/>
          <w:rFonts w:asciiTheme="majorBidi" w:hAnsiTheme="majorBidi" w:cstheme="majorBidi"/>
          <w:sz w:val="24"/>
          <w:szCs w:val="24"/>
        </w:rPr>
        <w:t xml:space="preserve"> as the </w:t>
      </w:r>
      <w:proofErr w:type="spellStart"/>
      <w:r w:rsidRPr="00C71AD6">
        <w:rPr>
          <w:rStyle w:val="PageNumber"/>
          <w:rFonts w:asciiTheme="majorBidi" w:hAnsiTheme="majorBidi" w:cstheme="majorBidi"/>
          <w:sz w:val="24"/>
          <w:szCs w:val="24"/>
        </w:rPr>
        <w:t>trophectodermal</w:t>
      </w:r>
      <w:proofErr w:type="spellEnd"/>
      <w:r w:rsidRPr="00C71AD6">
        <w:rPr>
          <w:rStyle w:val="PageNumber"/>
          <w:rFonts w:asciiTheme="majorBidi" w:hAnsiTheme="majorBidi" w:cstheme="majorBidi"/>
          <w:sz w:val="24"/>
          <w:szCs w:val="24"/>
        </w:rPr>
        <w:t xml:space="preserve"> cells, thus it is not easy to differentiate between the two types.</w:t>
      </w:r>
    </w:p>
    <w:p w:rsidR="004C6F43" w:rsidRPr="00C71AD6" w:rsidRDefault="004C6F43" w:rsidP="005E3D90">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ectoderm is consisted of rounded or </w:t>
      </w:r>
      <w:proofErr w:type="spellStart"/>
      <w:r w:rsidRPr="00C71AD6">
        <w:rPr>
          <w:rStyle w:val="PageNumber"/>
          <w:rFonts w:asciiTheme="majorBidi" w:hAnsiTheme="majorBidi" w:cstheme="majorBidi"/>
          <w:sz w:val="24"/>
          <w:szCs w:val="24"/>
        </w:rPr>
        <w:t>cuboidal</w:t>
      </w:r>
      <w:proofErr w:type="spellEnd"/>
      <w:r w:rsidRPr="00C71AD6">
        <w:rPr>
          <w:rStyle w:val="PageNumber"/>
          <w:rFonts w:asciiTheme="majorBidi" w:hAnsiTheme="majorBidi" w:cstheme="majorBidi"/>
          <w:sz w:val="24"/>
          <w:szCs w:val="24"/>
        </w:rPr>
        <w:t xml:space="preserve"> cells lying at the </w:t>
      </w:r>
      <w:proofErr w:type="spellStart"/>
      <w:r w:rsidRPr="00C71AD6">
        <w:rPr>
          <w:rStyle w:val="PageNumber"/>
          <w:rFonts w:asciiTheme="majorBidi" w:hAnsiTheme="majorBidi" w:cstheme="majorBidi"/>
          <w:sz w:val="24"/>
          <w:szCs w:val="24"/>
        </w:rPr>
        <w:t>mesometrial</w:t>
      </w:r>
      <w:proofErr w:type="spellEnd"/>
      <w:r w:rsidRPr="00C71AD6">
        <w:rPr>
          <w:rStyle w:val="PageNumber"/>
          <w:rFonts w:asciiTheme="majorBidi" w:hAnsiTheme="majorBidi" w:cstheme="majorBidi"/>
          <w:sz w:val="24"/>
          <w:szCs w:val="24"/>
        </w:rPr>
        <w:t xml:space="preserve"> pole of the embryo. These cells are arranged in 1-4 layers of cells around the </w:t>
      </w:r>
      <w:proofErr w:type="spellStart"/>
      <w:r w:rsidRPr="00C71AD6">
        <w:rPr>
          <w:rStyle w:val="PageNumber"/>
          <w:rFonts w:asciiTheme="majorBidi" w:hAnsiTheme="majorBidi" w:cstheme="majorBidi"/>
          <w:sz w:val="24"/>
          <w:szCs w:val="24"/>
        </w:rPr>
        <w:t>proamniotic</w:t>
      </w:r>
      <w:proofErr w:type="spellEnd"/>
      <w:r w:rsidRPr="00C71AD6">
        <w:rPr>
          <w:rStyle w:val="PageNumber"/>
          <w:rFonts w:asciiTheme="majorBidi" w:hAnsiTheme="majorBidi" w:cstheme="majorBidi"/>
          <w:sz w:val="24"/>
          <w:szCs w:val="24"/>
        </w:rPr>
        <w:t xml:space="preserve"> cavity. The cytoplasm of these cells is slightly basophilic with round basophilic nuclei. Few degenerated or dead cells with </w:t>
      </w:r>
      <w:proofErr w:type="spellStart"/>
      <w:r w:rsidRPr="00C71AD6">
        <w:rPr>
          <w:rStyle w:val="PageNumber"/>
          <w:rFonts w:asciiTheme="majorBidi" w:hAnsiTheme="majorBidi" w:cstheme="majorBidi"/>
          <w:sz w:val="24"/>
          <w:szCs w:val="24"/>
        </w:rPr>
        <w:t>pyknotic</w:t>
      </w:r>
      <w:proofErr w:type="spellEnd"/>
      <w:r w:rsidRPr="00C71AD6">
        <w:rPr>
          <w:rStyle w:val="PageNumber"/>
          <w:rFonts w:asciiTheme="majorBidi" w:hAnsiTheme="majorBidi" w:cstheme="majorBidi"/>
          <w:sz w:val="24"/>
          <w:szCs w:val="24"/>
        </w:rPr>
        <w:t xml:space="preserve"> nuclei are present in this layer and cellular remnants are seen in the </w:t>
      </w:r>
      <w:proofErr w:type="spellStart"/>
      <w:r w:rsidRPr="00C71AD6">
        <w:rPr>
          <w:rStyle w:val="PageNumber"/>
          <w:rFonts w:asciiTheme="majorBidi" w:hAnsiTheme="majorBidi" w:cstheme="majorBidi"/>
          <w:sz w:val="24"/>
          <w:szCs w:val="24"/>
        </w:rPr>
        <w:t>proamniotic</w:t>
      </w:r>
      <w:proofErr w:type="spellEnd"/>
      <w:r w:rsidRPr="00C71AD6">
        <w:rPr>
          <w:rStyle w:val="PageNumber"/>
          <w:rFonts w:asciiTheme="majorBidi" w:hAnsiTheme="majorBidi" w:cstheme="majorBidi"/>
          <w:sz w:val="24"/>
          <w:szCs w:val="24"/>
        </w:rPr>
        <w:t xml:space="preserve"> cavity.</w:t>
      </w:r>
    </w:p>
    <w:p w:rsidR="004C6F43" w:rsidRPr="00C71AD6" w:rsidRDefault="004C6F43" w:rsidP="00AB0379">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embryonic ectoderm consists of some layers (2-4 rows) of </w:t>
      </w:r>
      <w:proofErr w:type="spellStart"/>
      <w:r w:rsidRPr="00C71AD6">
        <w:rPr>
          <w:rStyle w:val="PageNumber"/>
          <w:rFonts w:asciiTheme="majorBidi" w:hAnsiTheme="majorBidi" w:cstheme="majorBidi"/>
          <w:sz w:val="24"/>
          <w:szCs w:val="24"/>
        </w:rPr>
        <w:t>cuboidal</w:t>
      </w:r>
      <w:proofErr w:type="spellEnd"/>
      <w:r w:rsidRPr="00C71AD6">
        <w:rPr>
          <w:rStyle w:val="PageNumber"/>
          <w:rFonts w:asciiTheme="majorBidi" w:hAnsiTheme="majorBidi" w:cstheme="majorBidi"/>
          <w:sz w:val="24"/>
          <w:szCs w:val="24"/>
        </w:rPr>
        <w:t xml:space="preserve"> or low columnar or cylindrical cells lying around the </w:t>
      </w:r>
      <w:proofErr w:type="spellStart"/>
      <w:r w:rsidRPr="00C71AD6">
        <w:rPr>
          <w:rStyle w:val="PageNumber"/>
          <w:rFonts w:asciiTheme="majorBidi" w:hAnsiTheme="majorBidi" w:cstheme="majorBidi"/>
          <w:sz w:val="24"/>
          <w:szCs w:val="24"/>
        </w:rPr>
        <w:t>proamniotic</w:t>
      </w:r>
      <w:proofErr w:type="spellEnd"/>
      <w:r w:rsidRPr="00C71AD6">
        <w:rPr>
          <w:rStyle w:val="PageNumber"/>
          <w:rFonts w:asciiTheme="majorBidi" w:hAnsiTheme="majorBidi" w:cstheme="majorBidi"/>
          <w:sz w:val="24"/>
          <w:szCs w:val="24"/>
        </w:rPr>
        <w:t xml:space="preserve"> cavity at this region of the embryo. These </w:t>
      </w:r>
      <w:proofErr w:type="spellStart"/>
      <w:r w:rsidRPr="00C71AD6">
        <w:rPr>
          <w:rStyle w:val="PageNumber"/>
          <w:rFonts w:asciiTheme="majorBidi" w:hAnsiTheme="majorBidi" w:cstheme="majorBidi"/>
          <w:sz w:val="24"/>
          <w:szCs w:val="24"/>
        </w:rPr>
        <w:t>ectodermal</w:t>
      </w:r>
      <w:proofErr w:type="spellEnd"/>
      <w:r w:rsidRPr="00C71AD6">
        <w:rPr>
          <w:rStyle w:val="PageNumber"/>
          <w:rFonts w:asciiTheme="majorBidi" w:hAnsiTheme="majorBidi" w:cstheme="majorBidi"/>
          <w:sz w:val="24"/>
          <w:szCs w:val="24"/>
        </w:rPr>
        <w:t xml:space="preserve"> cells are less basophilic with oval nuclei and one or two densely basophilic nucleoli. Also, dead or degenerated cells with dense basophilic and </w:t>
      </w:r>
      <w:proofErr w:type="spellStart"/>
      <w:r w:rsidRPr="00C71AD6">
        <w:rPr>
          <w:rStyle w:val="PageNumber"/>
          <w:rFonts w:asciiTheme="majorBidi" w:hAnsiTheme="majorBidi" w:cstheme="majorBidi"/>
          <w:sz w:val="24"/>
          <w:szCs w:val="24"/>
        </w:rPr>
        <w:t>pyknotic</w:t>
      </w:r>
      <w:proofErr w:type="spellEnd"/>
      <w:r w:rsidRPr="00C71AD6">
        <w:rPr>
          <w:rStyle w:val="PageNumber"/>
          <w:rFonts w:asciiTheme="majorBidi" w:hAnsiTheme="majorBidi" w:cstheme="majorBidi"/>
          <w:sz w:val="24"/>
          <w:szCs w:val="24"/>
        </w:rPr>
        <w:t xml:space="preserve"> nuclei are present </w:t>
      </w:r>
      <w:r w:rsidR="006B648D" w:rsidRPr="00C71AD6">
        <w:rPr>
          <w:rStyle w:val="PageNumber"/>
          <w:rFonts w:asciiTheme="majorBidi" w:hAnsiTheme="majorBidi" w:cstheme="majorBidi"/>
          <w:sz w:val="24"/>
          <w:szCs w:val="24"/>
        </w:rPr>
        <w:t xml:space="preserve">(Fig. </w:t>
      </w:r>
      <w:r w:rsidR="00AB0379">
        <w:rPr>
          <w:rStyle w:val="PageNumber"/>
          <w:rFonts w:asciiTheme="majorBidi" w:hAnsiTheme="majorBidi" w:cstheme="majorBidi"/>
          <w:sz w:val="24"/>
          <w:szCs w:val="24"/>
        </w:rPr>
        <w:t>5</w:t>
      </w:r>
      <w:r w:rsidRPr="00C71AD6">
        <w:rPr>
          <w:rStyle w:val="PageNumber"/>
          <w:rFonts w:asciiTheme="majorBidi" w:hAnsiTheme="majorBidi" w:cstheme="majorBidi"/>
          <w:sz w:val="24"/>
          <w:szCs w:val="24"/>
        </w:rPr>
        <w:t xml:space="preserve">). Few deteriorated cells with disintegrated cytoplasm are found at the luminal surface of the embryonic ectoderm and within the </w:t>
      </w:r>
      <w:proofErr w:type="spellStart"/>
      <w:r w:rsidRPr="00C71AD6">
        <w:rPr>
          <w:rStyle w:val="PageNumber"/>
          <w:rFonts w:asciiTheme="majorBidi" w:hAnsiTheme="majorBidi" w:cstheme="majorBidi"/>
          <w:sz w:val="24"/>
          <w:szCs w:val="24"/>
        </w:rPr>
        <w:t>proamniotic</w:t>
      </w:r>
      <w:proofErr w:type="spellEnd"/>
      <w:r w:rsidRPr="00C71AD6">
        <w:rPr>
          <w:rStyle w:val="PageNumber"/>
          <w:rFonts w:asciiTheme="majorBidi" w:hAnsiTheme="majorBidi" w:cstheme="majorBidi"/>
          <w:sz w:val="24"/>
          <w:szCs w:val="24"/>
        </w:rPr>
        <w:t xml:space="preserve"> cavity.</w:t>
      </w:r>
    </w:p>
    <w:p w:rsidR="004C6F43" w:rsidRPr="00C71AD6" w:rsidRDefault="004C6F43" w:rsidP="00AB0379">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w:t>
      </w:r>
      <w:proofErr w:type="spellStart"/>
      <w:r w:rsidRPr="00C71AD6">
        <w:rPr>
          <w:rStyle w:val="PageNumber"/>
          <w:rFonts w:asciiTheme="majorBidi" w:hAnsiTheme="majorBidi" w:cstheme="majorBidi"/>
          <w:sz w:val="24"/>
          <w:szCs w:val="24"/>
        </w:rPr>
        <w:t>trophectoderm</w:t>
      </w:r>
      <w:proofErr w:type="spellEnd"/>
      <w:r w:rsidRPr="00C71AD6">
        <w:rPr>
          <w:rStyle w:val="PageNumber"/>
          <w:rFonts w:asciiTheme="majorBidi" w:hAnsiTheme="majorBidi" w:cstheme="majorBidi"/>
          <w:sz w:val="24"/>
          <w:szCs w:val="24"/>
        </w:rPr>
        <w:t xml:space="preserve"> constitutes the outer layer of the egg-cylinder. This layer is observed in direct contact with the </w:t>
      </w:r>
      <w:proofErr w:type="spellStart"/>
      <w:r w:rsidRPr="00C71AD6">
        <w:rPr>
          <w:rStyle w:val="PageNumber"/>
          <w:rFonts w:asciiTheme="majorBidi" w:hAnsiTheme="majorBidi" w:cstheme="majorBidi"/>
          <w:sz w:val="24"/>
          <w:szCs w:val="24"/>
        </w:rPr>
        <w:t>decidual</w:t>
      </w:r>
      <w:proofErr w:type="spellEnd"/>
      <w:r w:rsidRPr="00C71AD6">
        <w:rPr>
          <w:rStyle w:val="PageNumber"/>
          <w:rFonts w:asciiTheme="majorBidi" w:hAnsiTheme="majorBidi" w:cstheme="majorBidi"/>
          <w:sz w:val="24"/>
          <w:szCs w:val="24"/>
        </w:rPr>
        <w:t xml:space="preserve"> tissue of the mother. The </w:t>
      </w:r>
      <w:proofErr w:type="spellStart"/>
      <w:r w:rsidRPr="00C71AD6">
        <w:rPr>
          <w:rStyle w:val="PageNumber"/>
          <w:rFonts w:asciiTheme="majorBidi" w:hAnsiTheme="majorBidi" w:cstheme="majorBidi"/>
          <w:sz w:val="24"/>
          <w:szCs w:val="24"/>
        </w:rPr>
        <w:t>trophectodermal</w:t>
      </w:r>
      <w:proofErr w:type="spellEnd"/>
      <w:r w:rsidRPr="00C71AD6">
        <w:rPr>
          <w:rStyle w:val="PageNumber"/>
          <w:rFonts w:asciiTheme="majorBidi" w:hAnsiTheme="majorBidi" w:cstheme="majorBidi"/>
          <w:sz w:val="24"/>
          <w:szCs w:val="24"/>
        </w:rPr>
        <w:t xml:space="preserve"> cells are flattened or cylindrical in shape with less </w:t>
      </w:r>
      <w:proofErr w:type="spellStart"/>
      <w:r w:rsidRPr="00C71AD6">
        <w:rPr>
          <w:rStyle w:val="PageNumber"/>
          <w:rFonts w:asciiTheme="majorBidi" w:hAnsiTheme="majorBidi" w:cstheme="majorBidi"/>
          <w:sz w:val="24"/>
          <w:szCs w:val="24"/>
        </w:rPr>
        <w:t>eosinophilic</w:t>
      </w:r>
      <w:proofErr w:type="spellEnd"/>
      <w:r w:rsidRPr="00C71AD6">
        <w:rPr>
          <w:rStyle w:val="PageNumber"/>
          <w:rFonts w:asciiTheme="majorBidi" w:hAnsiTheme="majorBidi" w:cstheme="majorBidi"/>
          <w:sz w:val="24"/>
          <w:szCs w:val="24"/>
        </w:rPr>
        <w:t xml:space="preserve"> cytoplasm and large oval basophilic nuclei. These cells are indistinguishable from the distal endoderm in some regions and from the </w:t>
      </w:r>
      <w:proofErr w:type="spellStart"/>
      <w:r w:rsidRPr="00C71AD6">
        <w:rPr>
          <w:rStyle w:val="PageNumber"/>
          <w:rFonts w:asciiTheme="majorBidi" w:hAnsiTheme="majorBidi" w:cstheme="majorBidi"/>
          <w:sz w:val="24"/>
          <w:szCs w:val="24"/>
        </w:rPr>
        <w:t>decidual</w:t>
      </w:r>
      <w:proofErr w:type="spellEnd"/>
      <w:r w:rsidRPr="00C71AD6">
        <w:rPr>
          <w:rStyle w:val="PageNumber"/>
          <w:rFonts w:asciiTheme="majorBidi" w:hAnsiTheme="majorBidi" w:cstheme="majorBidi"/>
          <w:sz w:val="24"/>
          <w:szCs w:val="24"/>
        </w:rPr>
        <w:t xml:space="preserve"> cells in other regions (Fig. </w:t>
      </w:r>
      <w:r w:rsidR="00AB0379">
        <w:rPr>
          <w:rStyle w:val="PageNumber"/>
          <w:rFonts w:asciiTheme="majorBidi" w:hAnsiTheme="majorBidi" w:cstheme="majorBidi"/>
          <w:sz w:val="24"/>
          <w:szCs w:val="24"/>
        </w:rPr>
        <w:t>5</w:t>
      </w:r>
      <w:r w:rsidRPr="00C71AD6">
        <w:rPr>
          <w:rStyle w:val="PageNumber"/>
          <w:rFonts w:asciiTheme="majorBidi" w:hAnsiTheme="majorBidi" w:cstheme="majorBidi"/>
          <w:sz w:val="24"/>
          <w:szCs w:val="24"/>
        </w:rPr>
        <w:t>).</w:t>
      </w:r>
    </w:p>
    <w:p w:rsidR="006B648D" w:rsidRPr="00C71AD6" w:rsidRDefault="004C6F43" w:rsidP="00AB0379">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A cylindrical embryo</w:t>
      </w:r>
      <w:r w:rsidR="006B648D" w:rsidRPr="00C71AD6">
        <w:rPr>
          <w:rStyle w:val="PageNumber"/>
          <w:rFonts w:asciiTheme="majorBidi" w:hAnsiTheme="majorBidi" w:cstheme="majorBidi"/>
          <w:sz w:val="24"/>
          <w:szCs w:val="24"/>
        </w:rPr>
        <w:t xml:space="preserve"> of group (B)</w:t>
      </w:r>
      <w:r w:rsidRPr="00C71AD6">
        <w:rPr>
          <w:rStyle w:val="PageNumber"/>
          <w:rFonts w:asciiTheme="majorBidi" w:hAnsiTheme="majorBidi" w:cstheme="majorBidi"/>
          <w:sz w:val="24"/>
          <w:szCs w:val="24"/>
        </w:rPr>
        <w:t xml:space="preserve"> shown in figure </w:t>
      </w:r>
      <w:r w:rsidR="00AB0379">
        <w:rPr>
          <w:rStyle w:val="PageNumber"/>
          <w:rFonts w:asciiTheme="majorBidi" w:hAnsiTheme="majorBidi" w:cstheme="majorBidi"/>
          <w:sz w:val="24"/>
          <w:szCs w:val="24"/>
        </w:rPr>
        <w:t>6</w:t>
      </w:r>
      <w:r w:rsidRPr="00C71AD6">
        <w:rPr>
          <w:rStyle w:val="PageNumber"/>
          <w:rFonts w:asciiTheme="majorBidi" w:hAnsiTheme="majorBidi" w:cstheme="majorBidi"/>
          <w:sz w:val="24"/>
          <w:szCs w:val="24"/>
        </w:rPr>
        <w:t xml:space="preserve"> is consisted of a central mass of </w:t>
      </w:r>
      <w:proofErr w:type="spellStart"/>
      <w:r w:rsidRPr="00C71AD6">
        <w:rPr>
          <w:rStyle w:val="PageNumber"/>
          <w:rFonts w:asciiTheme="majorBidi" w:hAnsiTheme="majorBidi" w:cstheme="majorBidi"/>
          <w:sz w:val="24"/>
          <w:szCs w:val="24"/>
        </w:rPr>
        <w:t>ectodermal</w:t>
      </w:r>
      <w:proofErr w:type="spellEnd"/>
      <w:r w:rsidRPr="00C71AD6">
        <w:rPr>
          <w:rStyle w:val="PageNumber"/>
          <w:rFonts w:asciiTheme="majorBidi" w:hAnsiTheme="majorBidi" w:cstheme="majorBidi"/>
          <w:sz w:val="24"/>
          <w:szCs w:val="24"/>
        </w:rPr>
        <w:t xml:space="preserve"> cells,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and embryonic cells. These cells appeared normal with </w:t>
      </w:r>
      <w:proofErr w:type="spellStart"/>
      <w:r w:rsidRPr="00C71AD6">
        <w:rPr>
          <w:rStyle w:val="PageNumber"/>
          <w:rFonts w:asciiTheme="majorBidi" w:hAnsiTheme="majorBidi" w:cstheme="majorBidi"/>
          <w:sz w:val="24"/>
          <w:szCs w:val="24"/>
        </w:rPr>
        <w:t>eosinophilic</w:t>
      </w:r>
      <w:proofErr w:type="spellEnd"/>
      <w:r w:rsidRPr="00C71AD6">
        <w:rPr>
          <w:rStyle w:val="PageNumber"/>
          <w:rFonts w:asciiTheme="majorBidi" w:hAnsiTheme="majorBidi" w:cstheme="majorBidi"/>
          <w:sz w:val="24"/>
          <w:szCs w:val="24"/>
        </w:rPr>
        <w:t xml:space="preserve"> cytoplasm and basophilic rounded nuclei. In the middle area of the </w:t>
      </w:r>
      <w:proofErr w:type="spellStart"/>
      <w:r w:rsidRPr="00C71AD6">
        <w:rPr>
          <w:rStyle w:val="PageNumber"/>
          <w:rFonts w:asciiTheme="majorBidi" w:hAnsiTheme="majorBidi" w:cstheme="majorBidi"/>
          <w:sz w:val="24"/>
          <w:szCs w:val="24"/>
        </w:rPr>
        <w:t>ectodermal</w:t>
      </w:r>
      <w:proofErr w:type="spellEnd"/>
      <w:r w:rsidRPr="00C71AD6">
        <w:rPr>
          <w:rStyle w:val="PageNumber"/>
          <w:rFonts w:asciiTheme="majorBidi" w:hAnsiTheme="majorBidi" w:cstheme="majorBidi"/>
          <w:sz w:val="24"/>
          <w:szCs w:val="24"/>
        </w:rPr>
        <w:t xml:space="preserve"> mass a few number of cells showed less </w:t>
      </w:r>
      <w:proofErr w:type="spellStart"/>
      <w:r w:rsidRPr="00C71AD6">
        <w:rPr>
          <w:rStyle w:val="PageNumber"/>
          <w:rFonts w:asciiTheme="majorBidi" w:hAnsiTheme="majorBidi" w:cstheme="majorBidi"/>
          <w:sz w:val="24"/>
          <w:szCs w:val="24"/>
        </w:rPr>
        <w:t>eosinophilic</w:t>
      </w:r>
      <w:proofErr w:type="spellEnd"/>
      <w:r w:rsidRPr="00C71AD6">
        <w:rPr>
          <w:rStyle w:val="PageNumber"/>
          <w:rFonts w:asciiTheme="majorBidi" w:hAnsiTheme="majorBidi" w:cstheme="majorBidi"/>
          <w:sz w:val="24"/>
          <w:szCs w:val="24"/>
        </w:rPr>
        <w:t xml:space="preserve"> cytoplasm and dense basophilic, probably, </w:t>
      </w:r>
      <w:proofErr w:type="spellStart"/>
      <w:r w:rsidRPr="00C71AD6">
        <w:rPr>
          <w:rStyle w:val="PageNumber"/>
          <w:rFonts w:asciiTheme="majorBidi" w:hAnsiTheme="majorBidi" w:cstheme="majorBidi"/>
          <w:sz w:val="24"/>
          <w:szCs w:val="24"/>
        </w:rPr>
        <w:t>pyknotic</w:t>
      </w:r>
      <w:proofErr w:type="spellEnd"/>
      <w:r w:rsidRPr="00C71AD6">
        <w:rPr>
          <w:rStyle w:val="PageNumber"/>
          <w:rFonts w:asciiTheme="majorBidi" w:hAnsiTheme="majorBidi" w:cstheme="majorBidi"/>
          <w:sz w:val="24"/>
          <w:szCs w:val="24"/>
        </w:rPr>
        <w:t xml:space="preserve"> nuclei. Some proximal </w:t>
      </w:r>
      <w:proofErr w:type="spellStart"/>
      <w:r w:rsidRPr="00C71AD6">
        <w:rPr>
          <w:rStyle w:val="PageNumber"/>
          <w:rFonts w:asciiTheme="majorBidi" w:hAnsiTheme="majorBidi" w:cstheme="majorBidi"/>
          <w:sz w:val="24"/>
          <w:szCs w:val="24"/>
        </w:rPr>
        <w:t>endodermal</w:t>
      </w:r>
      <w:proofErr w:type="spellEnd"/>
      <w:r w:rsidRPr="00C71AD6">
        <w:rPr>
          <w:rStyle w:val="PageNumber"/>
          <w:rFonts w:asciiTheme="majorBidi" w:hAnsiTheme="majorBidi" w:cstheme="majorBidi"/>
          <w:sz w:val="24"/>
          <w:szCs w:val="24"/>
        </w:rPr>
        <w:t xml:space="preserve"> cells at the lateral dorsal region of the </w:t>
      </w:r>
      <w:r w:rsidRPr="00C71AD6">
        <w:rPr>
          <w:rStyle w:val="PageNumber"/>
          <w:rFonts w:asciiTheme="majorBidi" w:hAnsiTheme="majorBidi" w:cstheme="majorBidi"/>
          <w:sz w:val="24"/>
          <w:szCs w:val="24"/>
        </w:rPr>
        <w:lastRenderedPageBreak/>
        <w:t xml:space="preserve">egg-cylinder were spherical or flattened instead of being </w:t>
      </w:r>
      <w:proofErr w:type="spellStart"/>
      <w:r w:rsidRPr="00C71AD6">
        <w:rPr>
          <w:rStyle w:val="PageNumber"/>
          <w:rFonts w:asciiTheme="majorBidi" w:hAnsiTheme="majorBidi" w:cstheme="majorBidi"/>
          <w:sz w:val="24"/>
          <w:szCs w:val="24"/>
        </w:rPr>
        <w:t>cuboidal</w:t>
      </w:r>
      <w:proofErr w:type="spellEnd"/>
      <w:r w:rsidRPr="00C71AD6">
        <w:rPr>
          <w:rStyle w:val="PageNumber"/>
          <w:rFonts w:asciiTheme="majorBidi" w:hAnsiTheme="majorBidi" w:cstheme="majorBidi"/>
          <w:sz w:val="24"/>
          <w:szCs w:val="24"/>
        </w:rPr>
        <w:t xml:space="preserve"> or low columnar with moderately </w:t>
      </w:r>
      <w:proofErr w:type="spellStart"/>
      <w:r w:rsidRPr="00C71AD6">
        <w:rPr>
          <w:rStyle w:val="PageNumber"/>
          <w:rFonts w:asciiTheme="majorBidi" w:hAnsiTheme="majorBidi" w:cstheme="majorBidi"/>
          <w:sz w:val="24"/>
          <w:szCs w:val="24"/>
        </w:rPr>
        <w:t>eosinophilic</w:t>
      </w:r>
      <w:proofErr w:type="spellEnd"/>
      <w:r w:rsidRPr="00C71AD6">
        <w:rPr>
          <w:rStyle w:val="PageNumber"/>
          <w:rFonts w:asciiTheme="majorBidi" w:hAnsiTheme="majorBidi" w:cstheme="majorBidi"/>
          <w:sz w:val="24"/>
          <w:szCs w:val="24"/>
        </w:rPr>
        <w:t xml:space="preserve"> stained cytoplasm and dense basophilic nuclei around which halo spaces are seen. Several </w:t>
      </w:r>
      <w:proofErr w:type="spellStart"/>
      <w:r w:rsidRPr="00C71AD6">
        <w:rPr>
          <w:rStyle w:val="PageNumber"/>
          <w:rFonts w:asciiTheme="majorBidi" w:hAnsiTheme="majorBidi" w:cstheme="majorBidi"/>
          <w:sz w:val="24"/>
          <w:szCs w:val="24"/>
        </w:rPr>
        <w:t>decidual</w:t>
      </w:r>
      <w:proofErr w:type="spellEnd"/>
      <w:r w:rsidRPr="00C71AD6">
        <w:rPr>
          <w:rStyle w:val="PageNumber"/>
          <w:rFonts w:asciiTheme="majorBidi" w:hAnsiTheme="majorBidi" w:cstheme="majorBidi"/>
          <w:sz w:val="24"/>
          <w:szCs w:val="24"/>
        </w:rPr>
        <w:t xml:space="preserve"> cells around the embryo exhibited less </w:t>
      </w:r>
      <w:proofErr w:type="spellStart"/>
      <w:r w:rsidRPr="00C71AD6">
        <w:rPr>
          <w:rStyle w:val="PageNumber"/>
          <w:rFonts w:asciiTheme="majorBidi" w:hAnsiTheme="majorBidi" w:cstheme="majorBidi"/>
          <w:sz w:val="24"/>
          <w:szCs w:val="24"/>
        </w:rPr>
        <w:t>eosinophilic</w:t>
      </w:r>
      <w:proofErr w:type="spellEnd"/>
      <w:r w:rsidRPr="00C71AD6">
        <w:rPr>
          <w:rStyle w:val="PageNumber"/>
          <w:rFonts w:asciiTheme="majorBidi" w:hAnsiTheme="majorBidi" w:cstheme="majorBidi"/>
          <w:sz w:val="24"/>
          <w:szCs w:val="24"/>
        </w:rPr>
        <w:t xml:space="preserve"> cytoplasm, large dense basophilic nuclei and halo spaces. </w:t>
      </w:r>
    </w:p>
    <w:p w:rsidR="006B648D" w:rsidRPr="00C71AD6" w:rsidRDefault="00AB0379" w:rsidP="00AB0379">
      <w:pPr>
        <w:bidi w:val="0"/>
        <w:spacing w:after="0" w:line="360" w:lineRule="auto"/>
        <w:ind w:left="-74" w:firstLine="641"/>
        <w:jc w:val="both"/>
        <w:rPr>
          <w:rStyle w:val="PageNumber"/>
          <w:rFonts w:asciiTheme="majorBidi" w:hAnsiTheme="majorBidi" w:cstheme="majorBidi"/>
          <w:sz w:val="24"/>
          <w:szCs w:val="24"/>
        </w:rPr>
      </w:pPr>
      <w:r>
        <w:rPr>
          <w:rStyle w:val="PageNumber"/>
          <w:rFonts w:asciiTheme="majorBidi" w:hAnsiTheme="majorBidi" w:cstheme="majorBidi"/>
          <w:sz w:val="24"/>
          <w:szCs w:val="24"/>
        </w:rPr>
        <w:t>T</w:t>
      </w:r>
      <w:r w:rsidR="004C6F43" w:rsidRPr="00C71AD6">
        <w:rPr>
          <w:rStyle w:val="PageNumber"/>
          <w:rFonts w:asciiTheme="majorBidi" w:hAnsiTheme="majorBidi" w:cstheme="majorBidi"/>
          <w:sz w:val="24"/>
          <w:szCs w:val="24"/>
        </w:rPr>
        <w:t xml:space="preserve">he embryonic cells </w:t>
      </w:r>
      <w:r>
        <w:rPr>
          <w:rStyle w:val="PageNumber"/>
          <w:rFonts w:asciiTheme="majorBidi" w:hAnsiTheme="majorBidi" w:cstheme="majorBidi"/>
          <w:sz w:val="24"/>
          <w:szCs w:val="24"/>
        </w:rPr>
        <w:t xml:space="preserve">at Fig. 7 </w:t>
      </w:r>
      <w:r w:rsidR="004C6F43" w:rsidRPr="00C71AD6">
        <w:rPr>
          <w:rStyle w:val="PageNumber"/>
          <w:rFonts w:asciiTheme="majorBidi" w:hAnsiTheme="majorBidi" w:cstheme="majorBidi"/>
          <w:sz w:val="24"/>
          <w:szCs w:val="24"/>
        </w:rPr>
        <w:t xml:space="preserve">were less </w:t>
      </w:r>
      <w:proofErr w:type="spellStart"/>
      <w:r w:rsidR="004C6F43" w:rsidRPr="00C71AD6">
        <w:rPr>
          <w:rStyle w:val="PageNumber"/>
          <w:rFonts w:asciiTheme="majorBidi" w:hAnsiTheme="majorBidi" w:cstheme="majorBidi"/>
          <w:sz w:val="24"/>
          <w:szCs w:val="24"/>
        </w:rPr>
        <w:t>eosinophilic</w:t>
      </w:r>
      <w:proofErr w:type="spellEnd"/>
      <w:r w:rsidR="004C6F43" w:rsidRPr="00C71AD6">
        <w:rPr>
          <w:rStyle w:val="PageNumber"/>
          <w:rFonts w:asciiTheme="majorBidi" w:hAnsiTheme="majorBidi" w:cstheme="majorBidi"/>
          <w:sz w:val="24"/>
          <w:szCs w:val="24"/>
        </w:rPr>
        <w:t xml:space="preserve"> and the nuclei were less basophilic. Several degenerated cells with </w:t>
      </w:r>
      <w:proofErr w:type="spellStart"/>
      <w:r w:rsidR="004C6F43" w:rsidRPr="00C71AD6">
        <w:rPr>
          <w:rStyle w:val="PageNumber"/>
          <w:rFonts w:asciiTheme="majorBidi" w:hAnsiTheme="majorBidi" w:cstheme="majorBidi"/>
          <w:sz w:val="24"/>
          <w:szCs w:val="24"/>
        </w:rPr>
        <w:t>pyknotic</w:t>
      </w:r>
      <w:proofErr w:type="spellEnd"/>
      <w:r w:rsidR="004C6F43" w:rsidRPr="00C71AD6">
        <w:rPr>
          <w:rStyle w:val="PageNumber"/>
          <w:rFonts w:asciiTheme="majorBidi" w:hAnsiTheme="majorBidi" w:cstheme="majorBidi"/>
          <w:sz w:val="24"/>
          <w:szCs w:val="24"/>
        </w:rPr>
        <w:t xml:space="preserve"> nuclei were shown in all layers of the embryo. The number of dead cells was increased than that observed in normal pregnancy. In addition, vacuolated </w:t>
      </w:r>
      <w:proofErr w:type="spellStart"/>
      <w:r w:rsidR="004C6F43" w:rsidRPr="00C71AD6">
        <w:rPr>
          <w:rStyle w:val="PageNumber"/>
          <w:rFonts w:asciiTheme="majorBidi" w:hAnsiTheme="majorBidi" w:cstheme="majorBidi"/>
          <w:sz w:val="24"/>
          <w:szCs w:val="24"/>
        </w:rPr>
        <w:t>decidual</w:t>
      </w:r>
      <w:proofErr w:type="spellEnd"/>
      <w:r w:rsidR="004C6F43" w:rsidRPr="00C71AD6">
        <w:rPr>
          <w:rStyle w:val="PageNumber"/>
          <w:rFonts w:asciiTheme="majorBidi" w:hAnsiTheme="majorBidi" w:cstheme="majorBidi"/>
          <w:sz w:val="24"/>
          <w:szCs w:val="24"/>
        </w:rPr>
        <w:t xml:space="preserve"> cells were demonstrated with shrinkage cytoplasm and </w:t>
      </w:r>
      <w:proofErr w:type="spellStart"/>
      <w:r w:rsidR="004C6F43" w:rsidRPr="00C71AD6">
        <w:rPr>
          <w:rStyle w:val="PageNumber"/>
          <w:rFonts w:asciiTheme="majorBidi" w:hAnsiTheme="majorBidi" w:cstheme="majorBidi"/>
          <w:sz w:val="24"/>
          <w:szCs w:val="24"/>
        </w:rPr>
        <w:t>pyknotic</w:t>
      </w:r>
      <w:proofErr w:type="spellEnd"/>
      <w:r w:rsidR="004C6F43" w:rsidRPr="00C71AD6">
        <w:rPr>
          <w:rStyle w:val="PageNumber"/>
          <w:rFonts w:asciiTheme="majorBidi" w:hAnsiTheme="majorBidi" w:cstheme="majorBidi"/>
          <w:sz w:val="24"/>
          <w:szCs w:val="24"/>
        </w:rPr>
        <w:t xml:space="preserve"> nuclei. Few deteriorated proximal </w:t>
      </w:r>
      <w:proofErr w:type="spellStart"/>
      <w:r w:rsidR="004C6F43" w:rsidRPr="00C71AD6">
        <w:rPr>
          <w:rStyle w:val="PageNumber"/>
          <w:rFonts w:asciiTheme="majorBidi" w:hAnsiTheme="majorBidi" w:cstheme="majorBidi"/>
          <w:sz w:val="24"/>
          <w:szCs w:val="24"/>
        </w:rPr>
        <w:t>endodermal</w:t>
      </w:r>
      <w:proofErr w:type="spellEnd"/>
      <w:r w:rsidR="004C6F43" w:rsidRPr="00C71AD6">
        <w:rPr>
          <w:rStyle w:val="PageNumber"/>
          <w:rFonts w:asciiTheme="majorBidi" w:hAnsiTheme="majorBidi" w:cstheme="majorBidi"/>
          <w:sz w:val="24"/>
          <w:szCs w:val="24"/>
        </w:rPr>
        <w:t xml:space="preserve"> cells were found at the </w:t>
      </w:r>
      <w:proofErr w:type="spellStart"/>
      <w:r w:rsidR="004C6F43" w:rsidRPr="00C71AD6">
        <w:rPr>
          <w:rStyle w:val="PageNumber"/>
          <w:rFonts w:asciiTheme="majorBidi" w:hAnsiTheme="majorBidi" w:cstheme="majorBidi"/>
          <w:sz w:val="24"/>
          <w:szCs w:val="24"/>
        </w:rPr>
        <w:t>d</w:t>
      </w:r>
      <w:r w:rsidR="006B648D" w:rsidRPr="00C71AD6">
        <w:rPr>
          <w:rStyle w:val="PageNumber"/>
          <w:rFonts w:asciiTheme="majorBidi" w:hAnsiTheme="majorBidi" w:cstheme="majorBidi"/>
          <w:sz w:val="24"/>
          <w:szCs w:val="24"/>
        </w:rPr>
        <w:t>orso</w:t>
      </w:r>
      <w:proofErr w:type="spellEnd"/>
      <w:r w:rsidR="006B648D" w:rsidRPr="00C71AD6">
        <w:rPr>
          <w:rStyle w:val="PageNumber"/>
          <w:rFonts w:asciiTheme="majorBidi" w:hAnsiTheme="majorBidi" w:cstheme="majorBidi"/>
          <w:sz w:val="24"/>
          <w:szCs w:val="24"/>
        </w:rPr>
        <w:t>-lateral side of the embryo</w:t>
      </w:r>
      <w:r w:rsidR="004C6F43" w:rsidRPr="00C71AD6">
        <w:rPr>
          <w:rStyle w:val="PageNumber"/>
          <w:rFonts w:asciiTheme="majorBidi" w:hAnsiTheme="majorBidi" w:cstheme="majorBidi"/>
          <w:sz w:val="24"/>
          <w:szCs w:val="24"/>
        </w:rPr>
        <w:t xml:space="preserve"> </w:t>
      </w:r>
      <w:r w:rsidR="006B648D" w:rsidRPr="00C71AD6">
        <w:rPr>
          <w:rStyle w:val="PageNumber"/>
          <w:rFonts w:asciiTheme="majorBidi" w:hAnsiTheme="majorBidi" w:cstheme="majorBidi"/>
          <w:sz w:val="24"/>
          <w:szCs w:val="24"/>
        </w:rPr>
        <w:t xml:space="preserve">(Fig. </w:t>
      </w:r>
      <w:r>
        <w:rPr>
          <w:rStyle w:val="PageNumber"/>
          <w:rFonts w:asciiTheme="majorBidi" w:hAnsiTheme="majorBidi" w:cstheme="majorBidi"/>
          <w:sz w:val="24"/>
          <w:szCs w:val="24"/>
        </w:rPr>
        <w:t>7</w:t>
      </w:r>
      <w:r w:rsidR="004C6F43" w:rsidRPr="00C71AD6">
        <w:rPr>
          <w:rStyle w:val="PageNumber"/>
          <w:rFonts w:asciiTheme="majorBidi" w:hAnsiTheme="majorBidi" w:cstheme="majorBidi"/>
          <w:sz w:val="24"/>
          <w:szCs w:val="24"/>
        </w:rPr>
        <w:t xml:space="preserve">). </w:t>
      </w:r>
    </w:p>
    <w:p w:rsidR="004C6F43" w:rsidRPr="00C71AD6" w:rsidRDefault="004C6F43" w:rsidP="00CA34E4">
      <w:pPr>
        <w:bidi w:val="0"/>
        <w:spacing w:after="0" w:line="360" w:lineRule="auto"/>
        <w:ind w:left="-74" w:firstLine="641"/>
        <w:jc w:val="both"/>
        <w:rPr>
          <w:rStyle w:val="PageNumber"/>
          <w:rFonts w:asciiTheme="majorBidi" w:hAnsiTheme="majorBidi" w:cstheme="majorBidi"/>
          <w:sz w:val="24"/>
          <w:szCs w:val="24"/>
        </w:rPr>
      </w:pPr>
      <w:proofErr w:type="spellStart"/>
      <w:r w:rsidRPr="00C71AD6">
        <w:rPr>
          <w:rStyle w:val="PageNumber"/>
          <w:rFonts w:asciiTheme="majorBidi" w:hAnsiTheme="majorBidi" w:cstheme="majorBidi"/>
          <w:sz w:val="24"/>
          <w:szCs w:val="24"/>
        </w:rPr>
        <w:t>Microscopical</w:t>
      </w:r>
      <w:proofErr w:type="spellEnd"/>
      <w:r w:rsidRPr="00C71AD6">
        <w:rPr>
          <w:rStyle w:val="PageNumber"/>
          <w:rFonts w:asciiTheme="majorBidi" w:hAnsiTheme="majorBidi" w:cstheme="majorBidi"/>
          <w:sz w:val="24"/>
          <w:szCs w:val="24"/>
        </w:rPr>
        <w:t xml:space="preserve"> examination of </w:t>
      </w:r>
      <w:proofErr w:type="spellStart"/>
      <w:r w:rsidRPr="00C71AD6">
        <w:rPr>
          <w:rStyle w:val="PageNumber"/>
          <w:rFonts w:asciiTheme="majorBidi" w:hAnsiTheme="majorBidi" w:cstheme="majorBidi"/>
          <w:sz w:val="24"/>
          <w:szCs w:val="24"/>
        </w:rPr>
        <w:t>sagittal</w:t>
      </w:r>
      <w:proofErr w:type="spellEnd"/>
      <w:r w:rsidRPr="00C71AD6">
        <w:rPr>
          <w:rStyle w:val="PageNumber"/>
          <w:rFonts w:asciiTheme="majorBidi" w:hAnsiTheme="majorBidi" w:cstheme="majorBidi"/>
          <w:sz w:val="24"/>
          <w:szCs w:val="24"/>
        </w:rPr>
        <w:t xml:space="preserve"> sections in the embryos obtained from dams treated with the high dose of TCE (240 mg/kg </w:t>
      </w:r>
      <w:proofErr w:type="spellStart"/>
      <w:r w:rsidRPr="00C71AD6">
        <w:rPr>
          <w:rStyle w:val="PageNumber"/>
          <w:rFonts w:asciiTheme="majorBidi" w:hAnsiTheme="majorBidi" w:cstheme="majorBidi"/>
          <w:sz w:val="24"/>
          <w:szCs w:val="24"/>
        </w:rPr>
        <w:t>b.w</w:t>
      </w:r>
      <w:proofErr w:type="spellEnd"/>
      <w:r w:rsidRPr="00C71AD6">
        <w:rPr>
          <w:rStyle w:val="PageNumber"/>
          <w:rFonts w:asciiTheme="majorBidi" w:hAnsiTheme="majorBidi" w:cstheme="majorBidi"/>
          <w:sz w:val="24"/>
          <w:szCs w:val="24"/>
        </w:rPr>
        <w:t xml:space="preserve">.) showed some deformed embryos with </w:t>
      </w:r>
      <w:r w:rsidR="00CA34E4" w:rsidRPr="00C71AD6">
        <w:rPr>
          <w:rStyle w:val="PageNumber"/>
          <w:rFonts w:asciiTheme="majorBidi" w:hAnsiTheme="majorBidi" w:cstheme="majorBidi"/>
          <w:sz w:val="24"/>
          <w:szCs w:val="24"/>
        </w:rPr>
        <w:t>defined</w:t>
      </w:r>
      <w:r w:rsidRPr="00C71AD6">
        <w:rPr>
          <w:rStyle w:val="PageNumber"/>
          <w:rFonts w:asciiTheme="majorBidi" w:hAnsiTheme="majorBidi" w:cstheme="majorBidi"/>
          <w:sz w:val="24"/>
          <w:szCs w:val="24"/>
        </w:rPr>
        <w:t xml:space="preserve"> structures. The </w:t>
      </w:r>
      <w:proofErr w:type="spellStart"/>
      <w:r w:rsidRPr="00C71AD6">
        <w:rPr>
          <w:rStyle w:val="PageNumber"/>
          <w:rFonts w:asciiTheme="majorBidi" w:hAnsiTheme="majorBidi" w:cstheme="majorBidi"/>
          <w:sz w:val="24"/>
          <w:szCs w:val="24"/>
        </w:rPr>
        <w:t>ectoplacental</w:t>
      </w:r>
      <w:proofErr w:type="spellEnd"/>
      <w:r w:rsidRPr="00C71AD6">
        <w:rPr>
          <w:rStyle w:val="PageNumber"/>
          <w:rFonts w:asciiTheme="majorBidi" w:hAnsiTheme="majorBidi" w:cstheme="majorBidi"/>
          <w:sz w:val="24"/>
          <w:szCs w:val="24"/>
        </w:rPr>
        <w:t xml:space="preserve"> cone was undeveloped with indefinite cellular appearance. A large empty space was seen in its centre. Dead cells with </w:t>
      </w:r>
      <w:proofErr w:type="spellStart"/>
      <w:r w:rsidRPr="00C71AD6">
        <w:rPr>
          <w:rStyle w:val="PageNumber"/>
          <w:rFonts w:asciiTheme="majorBidi" w:hAnsiTheme="majorBidi" w:cstheme="majorBidi"/>
          <w:sz w:val="24"/>
          <w:szCs w:val="24"/>
        </w:rPr>
        <w:t>pyknotic</w:t>
      </w:r>
      <w:proofErr w:type="spellEnd"/>
      <w:r w:rsidRPr="00C71AD6">
        <w:rPr>
          <w:rStyle w:val="PageNumber"/>
          <w:rFonts w:asciiTheme="majorBidi" w:hAnsiTheme="majorBidi" w:cstheme="majorBidi"/>
          <w:sz w:val="24"/>
          <w:szCs w:val="24"/>
        </w:rPr>
        <w:t xml:space="preserve"> nuclei were observed in the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ectoderm. Also, vacuolated cells with shrinkage cytoplasm were </w:t>
      </w:r>
      <w:proofErr w:type="spellStart"/>
      <w:r w:rsidRPr="00C71AD6">
        <w:rPr>
          <w:rStyle w:val="PageNumber"/>
          <w:rFonts w:asciiTheme="majorBidi" w:hAnsiTheme="majorBidi" w:cstheme="majorBidi"/>
          <w:sz w:val="24"/>
          <w:szCs w:val="24"/>
        </w:rPr>
        <w:t>evidented</w:t>
      </w:r>
      <w:proofErr w:type="spellEnd"/>
      <w:r w:rsidRPr="00C71AD6">
        <w:rPr>
          <w:rStyle w:val="PageNumber"/>
          <w:rFonts w:asciiTheme="majorBidi" w:hAnsiTheme="majorBidi" w:cstheme="majorBidi"/>
          <w:sz w:val="24"/>
          <w:szCs w:val="24"/>
        </w:rPr>
        <w:t xml:space="preserve">. The proximal endoderm looks normal at the </w:t>
      </w:r>
      <w:proofErr w:type="spellStart"/>
      <w:r w:rsidRPr="00C71AD6">
        <w:rPr>
          <w:rStyle w:val="PageNumber"/>
          <w:rFonts w:asciiTheme="majorBidi" w:hAnsiTheme="majorBidi" w:cstheme="majorBidi"/>
          <w:sz w:val="24"/>
          <w:szCs w:val="24"/>
        </w:rPr>
        <w:t>mesometrial</w:t>
      </w:r>
      <w:proofErr w:type="spellEnd"/>
      <w:r w:rsidRPr="00C71AD6">
        <w:rPr>
          <w:rStyle w:val="PageNumber"/>
          <w:rFonts w:asciiTheme="majorBidi" w:hAnsiTheme="majorBidi" w:cstheme="majorBidi"/>
          <w:sz w:val="24"/>
          <w:szCs w:val="24"/>
        </w:rPr>
        <w:t xml:space="preserve"> pole of the embryo and disrupted at the </w:t>
      </w:r>
      <w:proofErr w:type="spellStart"/>
      <w:r w:rsidRPr="00C71AD6">
        <w:rPr>
          <w:rStyle w:val="PageNumber"/>
          <w:rFonts w:asciiTheme="majorBidi" w:hAnsiTheme="majorBidi" w:cstheme="majorBidi"/>
          <w:sz w:val="24"/>
          <w:szCs w:val="24"/>
        </w:rPr>
        <w:t>antimesometrial</w:t>
      </w:r>
      <w:proofErr w:type="spellEnd"/>
      <w:r w:rsidRPr="00C71AD6">
        <w:rPr>
          <w:rStyle w:val="PageNumber"/>
          <w:rFonts w:asciiTheme="majorBidi" w:hAnsiTheme="majorBidi" w:cstheme="majorBidi"/>
          <w:sz w:val="24"/>
          <w:szCs w:val="24"/>
        </w:rPr>
        <w:t xml:space="preserve"> pole. The most striking feature in this specimen was the deformation of the embryonic ectoderm that will form the embryo proper. It comprised numerous vacuolated cells with small dense nuclei, dead and disintegrated embryonic cells at its luminal surface and somewhat wider </w:t>
      </w:r>
      <w:proofErr w:type="spellStart"/>
      <w:r w:rsidRPr="00C71AD6">
        <w:rPr>
          <w:rStyle w:val="PageNumber"/>
          <w:rFonts w:asciiTheme="majorBidi" w:hAnsiTheme="majorBidi" w:cstheme="majorBidi"/>
          <w:sz w:val="24"/>
          <w:szCs w:val="24"/>
        </w:rPr>
        <w:t>proamniotic</w:t>
      </w:r>
      <w:proofErr w:type="spellEnd"/>
      <w:r w:rsidRPr="00C71AD6">
        <w:rPr>
          <w:rStyle w:val="PageNumber"/>
          <w:rFonts w:asciiTheme="majorBidi" w:hAnsiTheme="majorBidi" w:cstheme="majorBidi"/>
          <w:sz w:val="24"/>
          <w:szCs w:val="24"/>
        </w:rPr>
        <w:t xml:space="preserve"> cavity. Small </w:t>
      </w:r>
      <w:proofErr w:type="spellStart"/>
      <w:r w:rsidRPr="00C71AD6">
        <w:rPr>
          <w:rStyle w:val="PageNumber"/>
          <w:rFonts w:asciiTheme="majorBidi" w:hAnsiTheme="majorBidi" w:cstheme="majorBidi"/>
          <w:sz w:val="24"/>
          <w:szCs w:val="24"/>
        </w:rPr>
        <w:t>haemorrhagic</w:t>
      </w:r>
      <w:proofErr w:type="spellEnd"/>
      <w:r w:rsidRPr="00C71AD6">
        <w:rPr>
          <w:rStyle w:val="PageNumber"/>
          <w:rFonts w:asciiTheme="majorBidi" w:hAnsiTheme="majorBidi" w:cstheme="majorBidi"/>
          <w:sz w:val="24"/>
          <w:szCs w:val="24"/>
        </w:rPr>
        <w:t xml:space="preserve"> patches were seen very near to the undeveloped </w:t>
      </w:r>
      <w:proofErr w:type="spellStart"/>
      <w:r w:rsidRPr="00C71AD6">
        <w:rPr>
          <w:rStyle w:val="PageNumber"/>
          <w:rFonts w:asciiTheme="majorBidi" w:hAnsiTheme="majorBidi" w:cstheme="majorBidi"/>
          <w:sz w:val="24"/>
          <w:szCs w:val="24"/>
        </w:rPr>
        <w:t>ectoplacental</w:t>
      </w:r>
      <w:proofErr w:type="spellEnd"/>
      <w:r w:rsidRPr="00C71AD6">
        <w:rPr>
          <w:rStyle w:val="PageNumber"/>
          <w:rFonts w:asciiTheme="majorBidi" w:hAnsiTheme="majorBidi" w:cstheme="majorBidi"/>
          <w:sz w:val="24"/>
          <w:szCs w:val="24"/>
        </w:rPr>
        <w:t xml:space="preserve"> cone and at the </w:t>
      </w:r>
      <w:proofErr w:type="spellStart"/>
      <w:r w:rsidRPr="00C71AD6">
        <w:rPr>
          <w:rStyle w:val="PageNumber"/>
          <w:rFonts w:asciiTheme="majorBidi" w:hAnsiTheme="majorBidi" w:cstheme="majorBidi"/>
          <w:sz w:val="24"/>
          <w:szCs w:val="24"/>
        </w:rPr>
        <w:t>antimesometrial</w:t>
      </w:r>
      <w:proofErr w:type="spellEnd"/>
      <w:r w:rsidRPr="00C71AD6">
        <w:rPr>
          <w:rStyle w:val="PageNumber"/>
          <w:rFonts w:asciiTheme="majorBidi" w:hAnsiTheme="majorBidi" w:cstheme="majorBidi"/>
          <w:sz w:val="24"/>
          <w:szCs w:val="24"/>
        </w:rPr>
        <w:t xml:space="preserve"> pole of the egg-cylinder (Fig. </w:t>
      </w:r>
      <w:r w:rsidR="00AB0379">
        <w:rPr>
          <w:rStyle w:val="PageNumber"/>
          <w:rFonts w:asciiTheme="majorBidi" w:hAnsiTheme="majorBidi" w:cstheme="majorBidi"/>
          <w:sz w:val="24"/>
          <w:szCs w:val="24"/>
        </w:rPr>
        <w:t>8</w:t>
      </w:r>
      <w:r w:rsidRPr="00C71AD6">
        <w:rPr>
          <w:rStyle w:val="PageNumber"/>
          <w:rFonts w:asciiTheme="majorBidi" w:hAnsiTheme="majorBidi" w:cstheme="majorBidi"/>
          <w:sz w:val="24"/>
          <w:szCs w:val="24"/>
        </w:rPr>
        <w:t>).</w:t>
      </w:r>
    </w:p>
    <w:p w:rsidR="008A5B51" w:rsidRPr="00C71AD6" w:rsidRDefault="004C6F43" w:rsidP="00CA34E4">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At the high dose level of TCE, completely degenerated or destructed embryos were investigated (Fig. </w:t>
      </w:r>
      <w:r w:rsidR="00AB0379">
        <w:rPr>
          <w:rStyle w:val="PageNumber"/>
          <w:rFonts w:asciiTheme="majorBidi" w:hAnsiTheme="majorBidi" w:cstheme="majorBidi"/>
          <w:sz w:val="24"/>
          <w:szCs w:val="24"/>
        </w:rPr>
        <w:t>9</w:t>
      </w:r>
      <w:r w:rsidRPr="00C71AD6">
        <w:rPr>
          <w:rStyle w:val="PageNumber"/>
          <w:rFonts w:asciiTheme="majorBidi" w:hAnsiTheme="majorBidi" w:cstheme="majorBidi"/>
          <w:sz w:val="24"/>
          <w:szCs w:val="24"/>
        </w:rPr>
        <w:t xml:space="preserve">). Cells of the </w:t>
      </w:r>
      <w:proofErr w:type="spellStart"/>
      <w:r w:rsidRPr="00C71AD6">
        <w:rPr>
          <w:rStyle w:val="PageNumber"/>
          <w:rFonts w:asciiTheme="majorBidi" w:hAnsiTheme="majorBidi" w:cstheme="majorBidi"/>
          <w:sz w:val="24"/>
          <w:szCs w:val="24"/>
        </w:rPr>
        <w:t>ectoplacental</w:t>
      </w:r>
      <w:proofErr w:type="spellEnd"/>
      <w:r w:rsidRPr="00C71AD6">
        <w:rPr>
          <w:rStyle w:val="PageNumber"/>
          <w:rFonts w:asciiTheme="majorBidi" w:hAnsiTheme="majorBidi" w:cstheme="majorBidi"/>
          <w:sz w:val="24"/>
          <w:szCs w:val="24"/>
        </w:rPr>
        <w:t xml:space="preserve"> cone were </w:t>
      </w:r>
      <w:proofErr w:type="spellStart"/>
      <w:r w:rsidRPr="00C71AD6">
        <w:rPr>
          <w:rStyle w:val="PageNumber"/>
          <w:rFonts w:asciiTheme="majorBidi" w:hAnsiTheme="majorBidi" w:cstheme="majorBidi"/>
          <w:sz w:val="24"/>
          <w:szCs w:val="24"/>
        </w:rPr>
        <w:t>basophilicaly</w:t>
      </w:r>
      <w:proofErr w:type="spellEnd"/>
      <w:r w:rsidRPr="00C71AD6">
        <w:rPr>
          <w:rStyle w:val="PageNumber"/>
          <w:rFonts w:asciiTheme="majorBidi" w:hAnsiTheme="majorBidi" w:cstheme="majorBidi"/>
          <w:sz w:val="24"/>
          <w:szCs w:val="24"/>
        </w:rPr>
        <w:t xml:space="preserve"> stained and the normal porous appearance of these cells was disappeared. Vacuoles of different sizes and small </w:t>
      </w:r>
      <w:proofErr w:type="spellStart"/>
      <w:r w:rsidRPr="00C71AD6">
        <w:rPr>
          <w:rStyle w:val="PageNumber"/>
          <w:rFonts w:asciiTheme="majorBidi" w:hAnsiTheme="majorBidi" w:cstheme="majorBidi"/>
          <w:sz w:val="24"/>
          <w:szCs w:val="24"/>
        </w:rPr>
        <w:t>haemorrhagic</w:t>
      </w:r>
      <w:proofErr w:type="spellEnd"/>
      <w:r w:rsidRPr="00C71AD6">
        <w:rPr>
          <w:rStyle w:val="PageNumber"/>
          <w:rFonts w:asciiTheme="majorBidi" w:hAnsiTheme="majorBidi" w:cstheme="majorBidi"/>
          <w:sz w:val="24"/>
          <w:szCs w:val="24"/>
        </w:rPr>
        <w:t xml:space="preserve"> patches were also observed. Most of the </w:t>
      </w:r>
      <w:proofErr w:type="spellStart"/>
      <w:r w:rsidRPr="00C71AD6">
        <w:rPr>
          <w:rStyle w:val="PageNumber"/>
          <w:rFonts w:asciiTheme="majorBidi" w:hAnsiTheme="majorBidi" w:cstheme="majorBidi"/>
          <w:sz w:val="24"/>
          <w:szCs w:val="24"/>
        </w:rPr>
        <w:t>endodermal</w:t>
      </w:r>
      <w:proofErr w:type="spellEnd"/>
      <w:r w:rsidRPr="00C71AD6">
        <w:rPr>
          <w:rStyle w:val="PageNumber"/>
          <w:rFonts w:asciiTheme="majorBidi" w:hAnsiTheme="majorBidi" w:cstheme="majorBidi"/>
          <w:sz w:val="24"/>
          <w:szCs w:val="24"/>
        </w:rPr>
        <w:t xml:space="preserve"> cells were highly vacuolated with degenerated nuclei. The proximal </w:t>
      </w:r>
      <w:proofErr w:type="spellStart"/>
      <w:r w:rsidRPr="00C71AD6">
        <w:rPr>
          <w:rStyle w:val="PageNumber"/>
          <w:rFonts w:asciiTheme="majorBidi" w:hAnsiTheme="majorBidi" w:cstheme="majorBidi"/>
          <w:sz w:val="24"/>
          <w:szCs w:val="24"/>
        </w:rPr>
        <w:t>endodermal</w:t>
      </w:r>
      <w:proofErr w:type="spellEnd"/>
      <w:r w:rsidRPr="00C71AD6">
        <w:rPr>
          <w:rStyle w:val="PageNumber"/>
          <w:rFonts w:asciiTheme="majorBidi" w:hAnsiTheme="majorBidi" w:cstheme="majorBidi"/>
          <w:sz w:val="24"/>
          <w:szCs w:val="24"/>
        </w:rPr>
        <w:t xml:space="preserve"> cells were disorganized and they were round in appearance and found around the circumference of the degenerated egg-cylinder. Some of these cells were degenerated with </w:t>
      </w:r>
      <w:proofErr w:type="spellStart"/>
      <w:r w:rsidRPr="00C71AD6">
        <w:rPr>
          <w:rStyle w:val="PageNumber"/>
          <w:rFonts w:asciiTheme="majorBidi" w:hAnsiTheme="majorBidi" w:cstheme="majorBidi"/>
          <w:sz w:val="24"/>
          <w:szCs w:val="24"/>
        </w:rPr>
        <w:t>chromatolytic</w:t>
      </w:r>
      <w:proofErr w:type="spellEnd"/>
      <w:r w:rsidRPr="00C71AD6">
        <w:rPr>
          <w:rStyle w:val="PageNumber"/>
          <w:rFonts w:asciiTheme="majorBidi" w:hAnsiTheme="majorBidi" w:cstheme="majorBidi"/>
          <w:sz w:val="24"/>
          <w:szCs w:val="24"/>
        </w:rPr>
        <w:t xml:space="preserve"> nuclei. The distal </w:t>
      </w:r>
      <w:proofErr w:type="spellStart"/>
      <w:r w:rsidRPr="00C71AD6">
        <w:rPr>
          <w:rStyle w:val="PageNumber"/>
          <w:rFonts w:asciiTheme="majorBidi" w:hAnsiTheme="majorBidi" w:cstheme="majorBidi"/>
          <w:sz w:val="24"/>
          <w:szCs w:val="24"/>
        </w:rPr>
        <w:t>endodermal</w:t>
      </w:r>
      <w:proofErr w:type="spellEnd"/>
      <w:r w:rsidRPr="00C71AD6">
        <w:rPr>
          <w:rStyle w:val="PageNumber"/>
          <w:rFonts w:asciiTheme="majorBidi" w:hAnsiTheme="majorBidi" w:cstheme="majorBidi"/>
          <w:sz w:val="24"/>
          <w:szCs w:val="24"/>
        </w:rPr>
        <w:t xml:space="preserve"> cells were ill-defined; some with </w:t>
      </w:r>
      <w:proofErr w:type="spellStart"/>
      <w:r w:rsidRPr="00C71AD6">
        <w:rPr>
          <w:rStyle w:val="PageNumber"/>
          <w:rFonts w:asciiTheme="majorBidi" w:hAnsiTheme="majorBidi" w:cstheme="majorBidi"/>
          <w:sz w:val="24"/>
          <w:szCs w:val="24"/>
        </w:rPr>
        <w:t>pyknotic</w:t>
      </w:r>
      <w:proofErr w:type="spellEnd"/>
      <w:r w:rsidRPr="00C71AD6">
        <w:rPr>
          <w:rStyle w:val="PageNumber"/>
          <w:rFonts w:asciiTheme="majorBidi" w:hAnsiTheme="majorBidi" w:cstheme="majorBidi"/>
          <w:sz w:val="24"/>
          <w:szCs w:val="24"/>
        </w:rPr>
        <w:t xml:space="preserve"> nuclei. The </w:t>
      </w:r>
      <w:proofErr w:type="spellStart"/>
      <w:r w:rsidRPr="00C71AD6">
        <w:rPr>
          <w:rStyle w:val="PageNumber"/>
          <w:rFonts w:asciiTheme="majorBidi" w:hAnsiTheme="majorBidi" w:cstheme="majorBidi"/>
          <w:sz w:val="24"/>
          <w:szCs w:val="24"/>
        </w:rPr>
        <w:t>decidua</w:t>
      </w:r>
      <w:proofErr w:type="spellEnd"/>
      <w:r w:rsidRPr="00C71AD6">
        <w:rPr>
          <w:rStyle w:val="PageNumber"/>
          <w:rFonts w:asciiTheme="majorBidi" w:hAnsiTheme="majorBidi" w:cstheme="majorBidi"/>
          <w:sz w:val="24"/>
          <w:szCs w:val="24"/>
        </w:rPr>
        <w:t xml:space="preserve"> around the embryo showed many degenerated round cells with large vacuoles and </w:t>
      </w:r>
      <w:proofErr w:type="spellStart"/>
      <w:r w:rsidRPr="00C71AD6">
        <w:rPr>
          <w:rStyle w:val="PageNumber"/>
          <w:rFonts w:asciiTheme="majorBidi" w:hAnsiTheme="majorBidi" w:cstheme="majorBidi"/>
          <w:sz w:val="24"/>
          <w:szCs w:val="24"/>
        </w:rPr>
        <w:t>pyknotic</w:t>
      </w:r>
      <w:proofErr w:type="spellEnd"/>
      <w:r w:rsidRPr="00C71AD6">
        <w:rPr>
          <w:rStyle w:val="PageNumber"/>
          <w:rFonts w:asciiTheme="majorBidi" w:hAnsiTheme="majorBidi" w:cstheme="majorBidi"/>
          <w:sz w:val="24"/>
          <w:szCs w:val="24"/>
        </w:rPr>
        <w:t xml:space="preserve"> nuclei. </w:t>
      </w:r>
      <w:proofErr w:type="spellStart"/>
      <w:r w:rsidRPr="00C71AD6">
        <w:rPr>
          <w:rStyle w:val="PageNumber"/>
          <w:rFonts w:asciiTheme="majorBidi" w:hAnsiTheme="majorBidi" w:cstheme="majorBidi"/>
          <w:sz w:val="24"/>
          <w:szCs w:val="24"/>
        </w:rPr>
        <w:t>Phagocytic</w:t>
      </w:r>
      <w:proofErr w:type="spellEnd"/>
      <w:r w:rsidRPr="00C71AD6">
        <w:rPr>
          <w:rStyle w:val="PageNumber"/>
          <w:rFonts w:asciiTheme="majorBidi" w:hAnsiTheme="majorBidi" w:cstheme="majorBidi"/>
          <w:sz w:val="24"/>
          <w:szCs w:val="24"/>
        </w:rPr>
        <w:t xml:space="preserve"> cells were increased in the </w:t>
      </w:r>
      <w:proofErr w:type="spellStart"/>
      <w:r w:rsidRPr="00C71AD6">
        <w:rPr>
          <w:rStyle w:val="PageNumber"/>
          <w:rFonts w:asciiTheme="majorBidi" w:hAnsiTheme="majorBidi" w:cstheme="majorBidi"/>
          <w:sz w:val="24"/>
          <w:szCs w:val="24"/>
        </w:rPr>
        <w:t>deciduoma</w:t>
      </w:r>
      <w:proofErr w:type="spellEnd"/>
      <w:r w:rsidRPr="00C71AD6">
        <w:rPr>
          <w:rStyle w:val="PageNumber"/>
          <w:rFonts w:asciiTheme="majorBidi" w:hAnsiTheme="majorBidi" w:cstheme="majorBidi"/>
          <w:sz w:val="24"/>
          <w:szCs w:val="24"/>
        </w:rPr>
        <w:t xml:space="preserve"> very near to the degenerated embryo. Large vacuoles or empty spaces were seen around the implanting embryo separating it from the surrounding </w:t>
      </w:r>
      <w:proofErr w:type="spellStart"/>
      <w:r w:rsidRPr="00C71AD6">
        <w:rPr>
          <w:rStyle w:val="PageNumber"/>
          <w:rFonts w:asciiTheme="majorBidi" w:hAnsiTheme="majorBidi" w:cstheme="majorBidi"/>
          <w:sz w:val="24"/>
          <w:szCs w:val="24"/>
        </w:rPr>
        <w:lastRenderedPageBreak/>
        <w:t>deciduoma</w:t>
      </w:r>
      <w:proofErr w:type="spellEnd"/>
      <w:r w:rsidRPr="00C71AD6">
        <w:rPr>
          <w:rStyle w:val="PageNumber"/>
          <w:rFonts w:asciiTheme="majorBidi" w:hAnsiTheme="majorBidi" w:cstheme="majorBidi"/>
          <w:sz w:val="24"/>
          <w:szCs w:val="24"/>
        </w:rPr>
        <w:t xml:space="preserve"> probably preventing the arrival of nourishment from the mother tissues at this stage of pregnancy</w:t>
      </w:r>
      <w:r w:rsidR="008A5B51" w:rsidRPr="00C71AD6">
        <w:rPr>
          <w:rStyle w:val="PageNumber"/>
          <w:rFonts w:asciiTheme="majorBidi" w:hAnsiTheme="majorBidi" w:cstheme="majorBidi"/>
          <w:sz w:val="24"/>
          <w:szCs w:val="24"/>
        </w:rPr>
        <w:t xml:space="preserve"> (Fig. </w:t>
      </w:r>
      <w:r w:rsidR="00AB0379">
        <w:rPr>
          <w:rStyle w:val="PageNumber"/>
          <w:rFonts w:asciiTheme="majorBidi" w:hAnsiTheme="majorBidi" w:cstheme="majorBidi"/>
          <w:sz w:val="24"/>
          <w:szCs w:val="24"/>
        </w:rPr>
        <w:t>9</w:t>
      </w:r>
      <w:r w:rsidR="008A5B51" w:rsidRPr="00C71AD6">
        <w:rPr>
          <w:rStyle w:val="PageNumber"/>
          <w:rFonts w:asciiTheme="majorBidi" w:hAnsiTheme="majorBidi" w:cstheme="majorBidi"/>
          <w:sz w:val="24"/>
          <w:szCs w:val="24"/>
        </w:rPr>
        <w:t>)</w:t>
      </w:r>
      <w:r w:rsidRPr="00C71AD6">
        <w:rPr>
          <w:rStyle w:val="PageNumber"/>
          <w:rFonts w:asciiTheme="majorBidi" w:hAnsiTheme="majorBidi" w:cstheme="majorBidi"/>
          <w:sz w:val="24"/>
          <w:szCs w:val="24"/>
        </w:rPr>
        <w:t>.</w:t>
      </w:r>
    </w:p>
    <w:p w:rsidR="008A5B51" w:rsidRPr="00C71AD6" w:rsidRDefault="008A5B51" w:rsidP="005E3D90">
      <w:pPr>
        <w:bidi w:val="0"/>
        <w:spacing w:after="0" w:line="360" w:lineRule="auto"/>
        <w:ind w:left="-74"/>
        <w:jc w:val="both"/>
        <w:rPr>
          <w:rStyle w:val="PageNumber"/>
          <w:rFonts w:asciiTheme="majorBidi" w:hAnsiTheme="majorBidi" w:cstheme="majorBidi"/>
          <w:sz w:val="24"/>
          <w:szCs w:val="24"/>
        </w:rPr>
      </w:pPr>
      <w:r w:rsidRPr="00C71AD6">
        <w:rPr>
          <w:rFonts w:asciiTheme="majorBidi" w:hAnsiTheme="majorBidi" w:cstheme="majorBidi"/>
          <w:b/>
          <w:bCs/>
          <w:sz w:val="24"/>
          <w:szCs w:val="24"/>
        </w:rPr>
        <w:t>8</w:t>
      </w:r>
      <w:r w:rsidRPr="00C71AD6">
        <w:rPr>
          <w:rFonts w:asciiTheme="majorBidi" w:hAnsiTheme="majorBidi" w:cstheme="majorBidi"/>
          <w:b/>
          <w:bCs/>
          <w:sz w:val="24"/>
          <w:szCs w:val="24"/>
          <w:vertAlign w:val="superscript"/>
        </w:rPr>
        <w:t>th</w:t>
      </w:r>
      <w:r w:rsidRPr="00C71AD6">
        <w:rPr>
          <w:rFonts w:asciiTheme="majorBidi" w:hAnsiTheme="majorBidi" w:cstheme="majorBidi"/>
          <w:b/>
          <w:bCs/>
          <w:sz w:val="24"/>
          <w:szCs w:val="24"/>
        </w:rPr>
        <w:t xml:space="preserve"> day embryo (180h p.c.):</w:t>
      </w:r>
    </w:p>
    <w:p w:rsidR="008A5B51" w:rsidRPr="00C71AD6" w:rsidRDefault="008A5B51" w:rsidP="00CA34E4">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mouse embryo at this stage in the form of egg-cylinder is much more developed and increased in size than the previous described embryo at day 6 of pregnancy. The embryo reaches about 300 µm in diameter. The embryo is seen </w:t>
      </w:r>
      <w:proofErr w:type="spellStart"/>
      <w:r w:rsidRPr="00C71AD6">
        <w:rPr>
          <w:rStyle w:val="PageNumber"/>
          <w:rFonts w:asciiTheme="majorBidi" w:hAnsiTheme="majorBidi" w:cstheme="majorBidi"/>
          <w:sz w:val="24"/>
          <w:szCs w:val="24"/>
        </w:rPr>
        <w:t>pendanted</w:t>
      </w:r>
      <w:proofErr w:type="spellEnd"/>
      <w:r w:rsidRPr="00C71AD6">
        <w:rPr>
          <w:rStyle w:val="PageNumber"/>
          <w:rFonts w:asciiTheme="majorBidi" w:hAnsiTheme="majorBidi" w:cstheme="majorBidi"/>
          <w:sz w:val="24"/>
          <w:szCs w:val="24"/>
        </w:rPr>
        <w:t xml:space="preserve"> in the uterine tissue by the </w:t>
      </w:r>
      <w:proofErr w:type="spellStart"/>
      <w:r w:rsidRPr="00C71AD6">
        <w:rPr>
          <w:rStyle w:val="PageNumber"/>
          <w:rFonts w:asciiTheme="majorBidi" w:hAnsiTheme="majorBidi" w:cstheme="majorBidi"/>
          <w:sz w:val="24"/>
          <w:szCs w:val="24"/>
        </w:rPr>
        <w:t>ectoplacental</w:t>
      </w:r>
      <w:proofErr w:type="spellEnd"/>
      <w:r w:rsidRPr="00C71AD6">
        <w:rPr>
          <w:rStyle w:val="PageNumber"/>
          <w:rFonts w:asciiTheme="majorBidi" w:hAnsiTheme="majorBidi" w:cstheme="majorBidi"/>
          <w:sz w:val="24"/>
          <w:szCs w:val="24"/>
        </w:rPr>
        <w:t xml:space="preserve"> cone (Fig. </w:t>
      </w:r>
      <w:r w:rsidR="00CA34E4">
        <w:rPr>
          <w:rStyle w:val="PageNumber"/>
          <w:rFonts w:asciiTheme="majorBidi" w:hAnsiTheme="majorBidi" w:cstheme="majorBidi"/>
          <w:sz w:val="24"/>
          <w:szCs w:val="24"/>
        </w:rPr>
        <w:t>10</w:t>
      </w:r>
      <w:r w:rsidRPr="00C71AD6">
        <w:rPr>
          <w:rStyle w:val="PageNumber"/>
          <w:rFonts w:asciiTheme="majorBidi" w:hAnsiTheme="majorBidi" w:cstheme="majorBidi"/>
          <w:sz w:val="24"/>
          <w:szCs w:val="24"/>
        </w:rPr>
        <w:t xml:space="preserve">). The </w:t>
      </w:r>
      <w:proofErr w:type="spellStart"/>
      <w:r w:rsidRPr="00C71AD6">
        <w:rPr>
          <w:rStyle w:val="PageNumber"/>
          <w:rFonts w:asciiTheme="majorBidi" w:hAnsiTheme="majorBidi" w:cstheme="majorBidi"/>
          <w:sz w:val="24"/>
          <w:szCs w:val="24"/>
        </w:rPr>
        <w:t>ectoplacental</w:t>
      </w:r>
      <w:proofErr w:type="spellEnd"/>
      <w:r w:rsidRPr="00C71AD6">
        <w:rPr>
          <w:rStyle w:val="PageNumber"/>
          <w:rFonts w:asciiTheme="majorBidi" w:hAnsiTheme="majorBidi" w:cstheme="majorBidi"/>
          <w:sz w:val="24"/>
          <w:szCs w:val="24"/>
        </w:rPr>
        <w:t xml:space="preserve"> cone is formed from the </w:t>
      </w:r>
      <w:proofErr w:type="spellStart"/>
      <w:r w:rsidRPr="00C71AD6">
        <w:rPr>
          <w:rStyle w:val="PageNumber"/>
          <w:rFonts w:asciiTheme="majorBidi" w:hAnsiTheme="majorBidi" w:cstheme="majorBidi"/>
          <w:sz w:val="24"/>
          <w:szCs w:val="24"/>
        </w:rPr>
        <w:t>dorsalward</w:t>
      </w:r>
      <w:proofErr w:type="spellEnd"/>
      <w:r w:rsidRPr="00C71AD6">
        <w:rPr>
          <w:rStyle w:val="PageNumber"/>
          <w:rFonts w:asciiTheme="majorBidi" w:hAnsiTheme="majorBidi" w:cstheme="majorBidi"/>
          <w:sz w:val="24"/>
          <w:szCs w:val="24"/>
        </w:rPr>
        <w:t xml:space="preserve"> proliferation of cells of the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ectoderm. Cells of the cone are basophilic stained with round or oval nuclei and prominent nucleoli. Also, the </w:t>
      </w:r>
      <w:proofErr w:type="spellStart"/>
      <w:r w:rsidRPr="00C71AD6">
        <w:rPr>
          <w:rStyle w:val="PageNumber"/>
          <w:rFonts w:asciiTheme="majorBidi" w:hAnsiTheme="majorBidi" w:cstheme="majorBidi"/>
          <w:sz w:val="24"/>
          <w:szCs w:val="24"/>
        </w:rPr>
        <w:t>trophectoderm</w:t>
      </w:r>
      <w:proofErr w:type="spellEnd"/>
      <w:r w:rsidRPr="00C71AD6">
        <w:rPr>
          <w:rStyle w:val="PageNumber"/>
          <w:rFonts w:asciiTheme="majorBidi" w:hAnsiTheme="majorBidi" w:cstheme="majorBidi"/>
          <w:sz w:val="24"/>
          <w:szCs w:val="24"/>
        </w:rPr>
        <w:t xml:space="preserve"> cells at this region take part in the formation of this structure. Some cells of the </w:t>
      </w:r>
      <w:proofErr w:type="spellStart"/>
      <w:r w:rsidRPr="00C71AD6">
        <w:rPr>
          <w:rStyle w:val="PageNumber"/>
          <w:rFonts w:asciiTheme="majorBidi" w:hAnsiTheme="majorBidi" w:cstheme="majorBidi"/>
          <w:sz w:val="24"/>
          <w:szCs w:val="24"/>
        </w:rPr>
        <w:t>ectoplacental</w:t>
      </w:r>
      <w:proofErr w:type="spellEnd"/>
      <w:r w:rsidRPr="00C71AD6">
        <w:rPr>
          <w:rStyle w:val="PageNumber"/>
          <w:rFonts w:asciiTheme="majorBidi" w:hAnsiTheme="majorBidi" w:cstheme="majorBidi"/>
          <w:sz w:val="24"/>
          <w:szCs w:val="24"/>
        </w:rPr>
        <w:t xml:space="preserve"> cone are vacuolated with dense basophilic and </w:t>
      </w:r>
      <w:proofErr w:type="spellStart"/>
      <w:r w:rsidRPr="00C71AD6">
        <w:rPr>
          <w:rStyle w:val="PageNumber"/>
          <w:rFonts w:asciiTheme="majorBidi" w:hAnsiTheme="majorBidi" w:cstheme="majorBidi"/>
          <w:sz w:val="24"/>
          <w:szCs w:val="24"/>
        </w:rPr>
        <w:t>pyknotic</w:t>
      </w:r>
      <w:proofErr w:type="spellEnd"/>
      <w:r w:rsidRPr="00C71AD6">
        <w:rPr>
          <w:rStyle w:val="PageNumber"/>
          <w:rFonts w:asciiTheme="majorBidi" w:hAnsiTheme="majorBidi" w:cstheme="majorBidi"/>
          <w:sz w:val="24"/>
          <w:szCs w:val="24"/>
        </w:rPr>
        <w:t xml:space="preserve"> nuclei representing degenerating cells in the cone. The </w:t>
      </w:r>
      <w:proofErr w:type="spellStart"/>
      <w:r w:rsidRPr="00C71AD6">
        <w:rPr>
          <w:rStyle w:val="PageNumber"/>
          <w:rFonts w:asciiTheme="majorBidi" w:hAnsiTheme="majorBidi" w:cstheme="majorBidi"/>
          <w:sz w:val="24"/>
          <w:szCs w:val="24"/>
        </w:rPr>
        <w:t>ectoplacental</w:t>
      </w:r>
      <w:proofErr w:type="spellEnd"/>
      <w:r w:rsidRPr="00C71AD6">
        <w:rPr>
          <w:rStyle w:val="PageNumber"/>
          <w:rFonts w:asciiTheme="majorBidi" w:hAnsiTheme="majorBidi" w:cstheme="majorBidi"/>
          <w:sz w:val="24"/>
          <w:szCs w:val="24"/>
        </w:rPr>
        <w:t xml:space="preserve"> cone invades the maternal tissues at this region, rupturing blood vessels in its path.</w:t>
      </w:r>
    </w:p>
    <w:p w:rsidR="008A5B51" w:rsidRPr="00C71AD6" w:rsidRDefault="008A5B51" w:rsidP="00CA34E4">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developed cylindrical embryo at this stage filled the yolk-sac cavity leaving a narrow space between the proximal and distal endoderm, which is obliterated later on. The egg-cylinder shows many changes in its form and architecture when compared with the previous studied 6-day normal embryo at 132h p.c. (Figs </w:t>
      </w:r>
      <w:r w:rsidR="00CA34E4">
        <w:rPr>
          <w:rStyle w:val="PageNumber"/>
          <w:rFonts w:asciiTheme="majorBidi" w:hAnsiTheme="majorBidi" w:cstheme="majorBidi"/>
          <w:sz w:val="24"/>
          <w:szCs w:val="24"/>
        </w:rPr>
        <w:t>10</w:t>
      </w:r>
      <w:r w:rsidRPr="00C71AD6">
        <w:rPr>
          <w:rStyle w:val="PageNumber"/>
          <w:rFonts w:asciiTheme="majorBidi" w:hAnsiTheme="majorBidi" w:cstheme="majorBidi"/>
          <w:sz w:val="24"/>
          <w:szCs w:val="24"/>
        </w:rPr>
        <w:t xml:space="preserve"> &amp; </w:t>
      </w:r>
      <w:r w:rsidR="00CA34E4">
        <w:rPr>
          <w:rStyle w:val="PageNumber"/>
          <w:rFonts w:asciiTheme="majorBidi" w:hAnsiTheme="majorBidi" w:cstheme="majorBidi"/>
          <w:sz w:val="24"/>
          <w:szCs w:val="24"/>
        </w:rPr>
        <w:t>11</w:t>
      </w:r>
      <w:r w:rsidRPr="00C71AD6">
        <w:rPr>
          <w:rStyle w:val="PageNumber"/>
          <w:rFonts w:asciiTheme="majorBidi" w:hAnsiTheme="majorBidi" w:cstheme="majorBidi"/>
          <w:sz w:val="24"/>
          <w:szCs w:val="24"/>
        </w:rPr>
        <w:t xml:space="preserve">). The examined 8-day embryo (180h p.c.) consists of three regions,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embryonic between which the </w:t>
      </w:r>
      <w:proofErr w:type="spellStart"/>
      <w:r w:rsidRPr="00C71AD6">
        <w:rPr>
          <w:rStyle w:val="PageNumber"/>
          <w:rFonts w:asciiTheme="majorBidi" w:hAnsiTheme="majorBidi" w:cstheme="majorBidi"/>
          <w:sz w:val="24"/>
          <w:szCs w:val="24"/>
        </w:rPr>
        <w:t>extracoelomic</w:t>
      </w:r>
      <w:proofErr w:type="spellEnd"/>
      <w:r w:rsidRPr="00C71AD6">
        <w:rPr>
          <w:rStyle w:val="PageNumber"/>
          <w:rFonts w:asciiTheme="majorBidi" w:hAnsiTheme="majorBidi" w:cstheme="majorBidi"/>
          <w:sz w:val="24"/>
          <w:szCs w:val="24"/>
        </w:rPr>
        <w:t xml:space="preserve"> region is present. In addition, it acquires three embryonic cavities; </w:t>
      </w:r>
      <w:proofErr w:type="spellStart"/>
      <w:r w:rsidRPr="00C71AD6">
        <w:rPr>
          <w:rStyle w:val="PageNumber"/>
          <w:rFonts w:asciiTheme="majorBidi" w:hAnsiTheme="majorBidi" w:cstheme="majorBidi"/>
          <w:sz w:val="24"/>
          <w:szCs w:val="24"/>
        </w:rPr>
        <w:t>ectoplacental</w:t>
      </w:r>
      <w:proofErr w:type="spellEnd"/>
      <w:r w:rsidRPr="00C71AD6">
        <w:rPr>
          <w:rStyle w:val="PageNumber"/>
          <w:rFonts w:asciiTheme="majorBidi" w:hAnsiTheme="majorBidi" w:cstheme="majorBidi"/>
          <w:sz w:val="24"/>
          <w:szCs w:val="24"/>
        </w:rPr>
        <w:t xml:space="preserve"> cone cavity, </w:t>
      </w:r>
      <w:proofErr w:type="spellStart"/>
      <w:r w:rsidRPr="00C71AD6">
        <w:rPr>
          <w:rStyle w:val="PageNumber"/>
          <w:rFonts w:asciiTheme="majorBidi" w:hAnsiTheme="majorBidi" w:cstheme="majorBidi"/>
          <w:sz w:val="24"/>
          <w:szCs w:val="24"/>
        </w:rPr>
        <w:t>exocoelomic</w:t>
      </w:r>
      <w:proofErr w:type="spellEnd"/>
      <w:r w:rsidRPr="00C71AD6">
        <w:rPr>
          <w:rStyle w:val="PageNumber"/>
          <w:rFonts w:asciiTheme="majorBidi" w:hAnsiTheme="majorBidi" w:cstheme="majorBidi"/>
          <w:sz w:val="24"/>
          <w:szCs w:val="24"/>
        </w:rPr>
        <w:t xml:space="preserve"> cavity and amniotic cavity.</w:t>
      </w:r>
    </w:p>
    <w:p w:rsidR="008A5B51" w:rsidRPr="00C71AD6" w:rsidRDefault="008A5B51" w:rsidP="00CA34E4">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region is observed </w:t>
      </w:r>
      <w:proofErr w:type="spellStart"/>
      <w:r w:rsidRPr="00C71AD6">
        <w:rPr>
          <w:rStyle w:val="PageNumber"/>
          <w:rFonts w:asciiTheme="majorBidi" w:hAnsiTheme="majorBidi" w:cstheme="majorBidi"/>
          <w:sz w:val="24"/>
          <w:szCs w:val="24"/>
        </w:rPr>
        <w:t>dorsaly</w:t>
      </w:r>
      <w:proofErr w:type="spellEnd"/>
      <w:r w:rsidRPr="00C71AD6">
        <w:rPr>
          <w:rStyle w:val="PageNumber"/>
          <w:rFonts w:asciiTheme="majorBidi" w:hAnsiTheme="majorBidi" w:cstheme="majorBidi"/>
          <w:sz w:val="24"/>
          <w:szCs w:val="24"/>
        </w:rPr>
        <w:t xml:space="preserve"> just below the well-formed </w:t>
      </w:r>
      <w:proofErr w:type="spellStart"/>
      <w:r w:rsidRPr="00C71AD6">
        <w:rPr>
          <w:rStyle w:val="PageNumber"/>
          <w:rFonts w:asciiTheme="majorBidi" w:hAnsiTheme="majorBidi" w:cstheme="majorBidi"/>
          <w:sz w:val="24"/>
          <w:szCs w:val="24"/>
        </w:rPr>
        <w:t>ectoplacental</w:t>
      </w:r>
      <w:proofErr w:type="spellEnd"/>
      <w:r w:rsidRPr="00C71AD6">
        <w:rPr>
          <w:rStyle w:val="PageNumber"/>
          <w:rFonts w:asciiTheme="majorBidi" w:hAnsiTheme="majorBidi" w:cstheme="majorBidi"/>
          <w:sz w:val="24"/>
          <w:szCs w:val="24"/>
        </w:rPr>
        <w:t xml:space="preserve"> cone. It consists of a layer of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ectoderm around a </w:t>
      </w:r>
      <w:proofErr w:type="spellStart"/>
      <w:r w:rsidRPr="00C71AD6">
        <w:rPr>
          <w:rStyle w:val="PageNumber"/>
          <w:rFonts w:asciiTheme="majorBidi" w:hAnsiTheme="majorBidi" w:cstheme="majorBidi"/>
          <w:sz w:val="24"/>
          <w:szCs w:val="24"/>
        </w:rPr>
        <w:t>semicrescent</w:t>
      </w:r>
      <w:proofErr w:type="spellEnd"/>
      <w:r w:rsidRPr="00C71AD6">
        <w:rPr>
          <w:rStyle w:val="PageNumber"/>
          <w:rFonts w:asciiTheme="majorBidi" w:hAnsiTheme="majorBidi" w:cstheme="majorBidi"/>
          <w:sz w:val="24"/>
          <w:szCs w:val="24"/>
        </w:rPr>
        <w:t xml:space="preserve"> slit or cavity represents </w:t>
      </w:r>
      <w:proofErr w:type="gramStart"/>
      <w:r w:rsidRPr="00C71AD6">
        <w:rPr>
          <w:rStyle w:val="PageNumber"/>
          <w:rFonts w:asciiTheme="majorBidi" w:hAnsiTheme="majorBidi" w:cstheme="majorBidi"/>
          <w:sz w:val="24"/>
          <w:szCs w:val="24"/>
        </w:rPr>
        <w:t>the remain</w:t>
      </w:r>
      <w:proofErr w:type="gramEnd"/>
      <w:r w:rsidRPr="00C71AD6">
        <w:rPr>
          <w:rStyle w:val="PageNumber"/>
          <w:rFonts w:asciiTheme="majorBidi" w:hAnsiTheme="majorBidi" w:cstheme="majorBidi"/>
          <w:sz w:val="24"/>
          <w:szCs w:val="24"/>
        </w:rPr>
        <w:t xml:space="preserve"> of the </w:t>
      </w:r>
      <w:proofErr w:type="spellStart"/>
      <w:r w:rsidRPr="00C71AD6">
        <w:rPr>
          <w:rStyle w:val="PageNumber"/>
          <w:rFonts w:asciiTheme="majorBidi" w:hAnsiTheme="majorBidi" w:cstheme="majorBidi"/>
          <w:sz w:val="24"/>
          <w:szCs w:val="24"/>
        </w:rPr>
        <w:t>ectoplacental</w:t>
      </w:r>
      <w:proofErr w:type="spellEnd"/>
      <w:r w:rsidRPr="00C71AD6">
        <w:rPr>
          <w:rStyle w:val="PageNumber"/>
          <w:rFonts w:asciiTheme="majorBidi" w:hAnsiTheme="majorBidi" w:cstheme="majorBidi"/>
          <w:sz w:val="24"/>
          <w:szCs w:val="24"/>
        </w:rPr>
        <w:t xml:space="preserve"> cone cavity (Fig. </w:t>
      </w:r>
      <w:r w:rsidR="00CA34E4">
        <w:rPr>
          <w:rStyle w:val="PageNumber"/>
          <w:rFonts w:asciiTheme="majorBidi" w:hAnsiTheme="majorBidi" w:cstheme="majorBidi"/>
          <w:sz w:val="24"/>
          <w:szCs w:val="24"/>
        </w:rPr>
        <w:t>10</w:t>
      </w:r>
      <w:r w:rsidRPr="00C71AD6">
        <w:rPr>
          <w:rStyle w:val="PageNumber"/>
          <w:rFonts w:asciiTheme="majorBidi" w:hAnsiTheme="majorBidi" w:cstheme="majorBidi"/>
          <w:sz w:val="24"/>
          <w:szCs w:val="24"/>
        </w:rPr>
        <w:t xml:space="preserve">). Cells of this layer are low columnar with basophilic cytoplasm and spherical or ovoid nuclei. The chromatin material accumulates into one or two masses within the nucleus. Cells with </w:t>
      </w:r>
      <w:proofErr w:type="spellStart"/>
      <w:r w:rsidRPr="00C71AD6">
        <w:rPr>
          <w:rStyle w:val="PageNumber"/>
          <w:rFonts w:asciiTheme="majorBidi" w:hAnsiTheme="majorBidi" w:cstheme="majorBidi"/>
          <w:sz w:val="24"/>
          <w:szCs w:val="24"/>
        </w:rPr>
        <w:t>apoptic</w:t>
      </w:r>
      <w:proofErr w:type="spellEnd"/>
      <w:r w:rsidRPr="00C71AD6">
        <w:rPr>
          <w:rStyle w:val="PageNumber"/>
          <w:rFonts w:asciiTheme="majorBidi" w:hAnsiTheme="majorBidi" w:cstheme="majorBidi"/>
          <w:sz w:val="24"/>
          <w:szCs w:val="24"/>
        </w:rPr>
        <w:t xml:space="preserve"> nuclei are also investigated in this layer (Fig. </w:t>
      </w:r>
      <w:r w:rsidR="00CA34E4">
        <w:rPr>
          <w:rStyle w:val="PageNumber"/>
          <w:rFonts w:asciiTheme="majorBidi" w:hAnsiTheme="majorBidi" w:cstheme="majorBidi"/>
          <w:sz w:val="24"/>
          <w:szCs w:val="24"/>
        </w:rPr>
        <w:t>12</w:t>
      </w:r>
      <w:r w:rsidRPr="00C71AD6">
        <w:rPr>
          <w:rStyle w:val="PageNumber"/>
          <w:rFonts w:asciiTheme="majorBidi" w:hAnsiTheme="majorBidi" w:cstheme="majorBidi"/>
          <w:sz w:val="24"/>
          <w:szCs w:val="24"/>
        </w:rPr>
        <w:t xml:space="preserve">). A layer of flattened or extended </w:t>
      </w:r>
      <w:proofErr w:type="spellStart"/>
      <w:r w:rsidRPr="00C71AD6">
        <w:rPr>
          <w:rStyle w:val="PageNumber"/>
          <w:rFonts w:asciiTheme="majorBidi" w:hAnsiTheme="majorBidi" w:cstheme="majorBidi"/>
          <w:sz w:val="24"/>
          <w:szCs w:val="24"/>
        </w:rPr>
        <w:t>mesodermal</w:t>
      </w:r>
      <w:proofErr w:type="spellEnd"/>
      <w:r w:rsidRPr="00C71AD6">
        <w:rPr>
          <w:rStyle w:val="PageNumber"/>
          <w:rFonts w:asciiTheme="majorBidi" w:hAnsiTheme="majorBidi" w:cstheme="majorBidi"/>
          <w:sz w:val="24"/>
          <w:szCs w:val="24"/>
        </w:rPr>
        <w:t xml:space="preserve"> cells is seen lining the ventral side of the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ectoderm forming the </w:t>
      </w:r>
      <w:proofErr w:type="spellStart"/>
      <w:r w:rsidRPr="00C71AD6">
        <w:rPr>
          <w:rStyle w:val="PageNumber"/>
          <w:rFonts w:asciiTheme="majorBidi" w:hAnsiTheme="majorBidi" w:cstheme="majorBidi"/>
          <w:sz w:val="24"/>
          <w:szCs w:val="24"/>
        </w:rPr>
        <w:t>chorion</w:t>
      </w:r>
      <w:proofErr w:type="spellEnd"/>
      <w:r w:rsidRPr="00C71AD6">
        <w:rPr>
          <w:rStyle w:val="PageNumber"/>
          <w:rFonts w:asciiTheme="majorBidi" w:hAnsiTheme="majorBidi" w:cstheme="majorBidi"/>
          <w:sz w:val="24"/>
          <w:szCs w:val="24"/>
        </w:rPr>
        <w:t xml:space="preserve">, which is one of the embryonic membranes. Also, some </w:t>
      </w:r>
      <w:proofErr w:type="spellStart"/>
      <w:r w:rsidRPr="00C71AD6">
        <w:rPr>
          <w:rStyle w:val="PageNumber"/>
          <w:rFonts w:asciiTheme="majorBidi" w:hAnsiTheme="majorBidi" w:cstheme="majorBidi"/>
          <w:sz w:val="24"/>
          <w:szCs w:val="24"/>
        </w:rPr>
        <w:t>mesodermal</w:t>
      </w:r>
      <w:proofErr w:type="spellEnd"/>
      <w:r w:rsidRPr="00C71AD6">
        <w:rPr>
          <w:rStyle w:val="PageNumber"/>
          <w:rFonts w:asciiTheme="majorBidi" w:hAnsiTheme="majorBidi" w:cstheme="majorBidi"/>
          <w:sz w:val="24"/>
          <w:szCs w:val="24"/>
        </w:rPr>
        <w:t xml:space="preserve"> cells are pushing their way between the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ectoderm and the adjacent endoderm taking part in the formation of the yolk-sac membrane which </w:t>
      </w:r>
      <w:r w:rsidR="000052F5" w:rsidRPr="00C71AD6">
        <w:rPr>
          <w:rStyle w:val="PageNumber"/>
          <w:rFonts w:asciiTheme="majorBidi" w:hAnsiTheme="majorBidi" w:cstheme="majorBidi"/>
          <w:sz w:val="24"/>
          <w:szCs w:val="24"/>
        </w:rPr>
        <w:t>envelops</w:t>
      </w:r>
      <w:r w:rsidRPr="00C71AD6">
        <w:rPr>
          <w:rStyle w:val="PageNumber"/>
          <w:rFonts w:asciiTheme="majorBidi" w:hAnsiTheme="majorBidi" w:cstheme="majorBidi"/>
          <w:sz w:val="24"/>
          <w:szCs w:val="24"/>
        </w:rPr>
        <w:t xml:space="preserve"> the embryo. In such case, the embryo is separated from the mother tissue by the yolk-sac and Reichert's membranes (Fig. </w:t>
      </w:r>
      <w:r w:rsidR="00CA34E4">
        <w:rPr>
          <w:rStyle w:val="PageNumber"/>
          <w:rFonts w:asciiTheme="majorBidi" w:hAnsiTheme="majorBidi" w:cstheme="majorBidi"/>
          <w:sz w:val="24"/>
          <w:szCs w:val="24"/>
        </w:rPr>
        <w:t>12</w:t>
      </w:r>
      <w:r w:rsidRPr="00C71AD6">
        <w:rPr>
          <w:rStyle w:val="PageNumber"/>
          <w:rFonts w:asciiTheme="majorBidi" w:hAnsiTheme="majorBidi" w:cstheme="majorBidi"/>
          <w:sz w:val="24"/>
          <w:szCs w:val="24"/>
        </w:rPr>
        <w:t>).</w:t>
      </w:r>
    </w:p>
    <w:p w:rsidR="008A5B51" w:rsidRPr="00C71AD6" w:rsidRDefault="008A5B51" w:rsidP="00CA34E4">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proximal endoderm of the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and the </w:t>
      </w:r>
      <w:proofErr w:type="spellStart"/>
      <w:r w:rsidRPr="00C71AD6">
        <w:rPr>
          <w:rStyle w:val="PageNumber"/>
          <w:rFonts w:asciiTheme="majorBidi" w:hAnsiTheme="majorBidi" w:cstheme="majorBidi"/>
          <w:sz w:val="24"/>
          <w:szCs w:val="24"/>
        </w:rPr>
        <w:t>exocoelomic</w:t>
      </w:r>
      <w:proofErr w:type="spellEnd"/>
      <w:r w:rsidRPr="00C71AD6">
        <w:rPr>
          <w:rStyle w:val="PageNumber"/>
          <w:rFonts w:asciiTheme="majorBidi" w:hAnsiTheme="majorBidi" w:cstheme="majorBidi"/>
          <w:sz w:val="24"/>
          <w:szCs w:val="24"/>
        </w:rPr>
        <w:t xml:space="preserve"> regions is consisted of columnar cells with basally located basophilic nuclei. </w:t>
      </w:r>
      <w:r w:rsidR="00CA34E4" w:rsidRPr="00C71AD6">
        <w:rPr>
          <w:rStyle w:val="PageNumber"/>
          <w:rFonts w:asciiTheme="majorBidi" w:hAnsiTheme="majorBidi" w:cstheme="majorBidi"/>
          <w:sz w:val="24"/>
          <w:szCs w:val="24"/>
        </w:rPr>
        <w:t>Vacuoles</w:t>
      </w:r>
      <w:r w:rsidRPr="00C71AD6">
        <w:rPr>
          <w:rStyle w:val="PageNumber"/>
          <w:rFonts w:asciiTheme="majorBidi" w:hAnsiTheme="majorBidi" w:cstheme="majorBidi"/>
          <w:sz w:val="24"/>
          <w:szCs w:val="24"/>
        </w:rPr>
        <w:t xml:space="preserve"> of different sizes are found </w:t>
      </w:r>
      <w:r w:rsidRPr="00C71AD6">
        <w:rPr>
          <w:rStyle w:val="PageNumber"/>
          <w:rFonts w:asciiTheme="majorBidi" w:hAnsiTheme="majorBidi" w:cstheme="majorBidi"/>
          <w:sz w:val="24"/>
          <w:szCs w:val="24"/>
        </w:rPr>
        <w:lastRenderedPageBreak/>
        <w:t xml:space="preserve">in the </w:t>
      </w:r>
      <w:proofErr w:type="spellStart"/>
      <w:r w:rsidRPr="00C71AD6">
        <w:rPr>
          <w:rStyle w:val="PageNumber"/>
          <w:rFonts w:asciiTheme="majorBidi" w:hAnsiTheme="majorBidi" w:cstheme="majorBidi"/>
          <w:sz w:val="24"/>
          <w:szCs w:val="24"/>
        </w:rPr>
        <w:t>supranuclear</w:t>
      </w:r>
      <w:proofErr w:type="spellEnd"/>
      <w:r w:rsidRPr="00C71AD6">
        <w:rPr>
          <w:rStyle w:val="PageNumber"/>
          <w:rFonts w:asciiTheme="majorBidi" w:hAnsiTheme="majorBidi" w:cstheme="majorBidi"/>
          <w:sz w:val="24"/>
          <w:szCs w:val="24"/>
        </w:rPr>
        <w:t xml:space="preserve"> cytoplasm. A heavy </w:t>
      </w:r>
      <w:proofErr w:type="spellStart"/>
      <w:r w:rsidRPr="00C71AD6">
        <w:rPr>
          <w:rStyle w:val="PageNumber"/>
          <w:rFonts w:asciiTheme="majorBidi" w:hAnsiTheme="majorBidi" w:cstheme="majorBidi"/>
          <w:sz w:val="24"/>
          <w:szCs w:val="24"/>
        </w:rPr>
        <w:t>eosinophilic</w:t>
      </w:r>
      <w:proofErr w:type="spellEnd"/>
      <w:r w:rsidRPr="00C71AD6">
        <w:rPr>
          <w:rStyle w:val="PageNumber"/>
          <w:rFonts w:asciiTheme="majorBidi" w:hAnsiTheme="majorBidi" w:cstheme="majorBidi"/>
          <w:sz w:val="24"/>
          <w:szCs w:val="24"/>
        </w:rPr>
        <w:t xml:space="preserve"> material is found at the luminal surface of these cells (Fig. </w:t>
      </w:r>
      <w:r w:rsidR="00CA34E4">
        <w:rPr>
          <w:rStyle w:val="PageNumber"/>
          <w:rFonts w:asciiTheme="majorBidi" w:hAnsiTheme="majorBidi" w:cstheme="majorBidi"/>
          <w:sz w:val="24"/>
          <w:szCs w:val="24"/>
        </w:rPr>
        <w:t>13</w:t>
      </w:r>
      <w:r w:rsidRPr="00C71AD6">
        <w:rPr>
          <w:rStyle w:val="PageNumber"/>
          <w:rFonts w:asciiTheme="majorBidi" w:hAnsiTheme="majorBidi" w:cstheme="majorBidi"/>
          <w:sz w:val="24"/>
          <w:szCs w:val="24"/>
        </w:rPr>
        <w:t xml:space="preserve">). This material is </w:t>
      </w:r>
      <w:proofErr w:type="spellStart"/>
      <w:r w:rsidRPr="00C71AD6">
        <w:rPr>
          <w:rStyle w:val="PageNumber"/>
          <w:rFonts w:asciiTheme="majorBidi" w:hAnsiTheme="majorBidi" w:cstheme="majorBidi"/>
          <w:sz w:val="24"/>
          <w:szCs w:val="24"/>
        </w:rPr>
        <w:t>maternaly</w:t>
      </w:r>
      <w:proofErr w:type="spellEnd"/>
      <w:r w:rsidRPr="00C71AD6">
        <w:rPr>
          <w:rStyle w:val="PageNumber"/>
          <w:rFonts w:asciiTheme="majorBidi" w:hAnsiTheme="majorBidi" w:cstheme="majorBidi"/>
          <w:sz w:val="24"/>
          <w:szCs w:val="24"/>
        </w:rPr>
        <w:t xml:space="preserve"> in origin. </w:t>
      </w:r>
    </w:p>
    <w:p w:rsidR="008A5B51" w:rsidRPr="00C71AD6" w:rsidRDefault="008A5B51" w:rsidP="00CA34E4">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embryonic </w:t>
      </w:r>
      <w:proofErr w:type="spellStart"/>
      <w:r w:rsidRPr="00C71AD6">
        <w:rPr>
          <w:rStyle w:val="PageNumber"/>
          <w:rFonts w:asciiTheme="majorBidi" w:hAnsiTheme="majorBidi" w:cstheme="majorBidi"/>
          <w:sz w:val="24"/>
          <w:szCs w:val="24"/>
        </w:rPr>
        <w:t>ectodermal</w:t>
      </w:r>
      <w:proofErr w:type="spellEnd"/>
      <w:r w:rsidRPr="00C71AD6">
        <w:rPr>
          <w:rStyle w:val="PageNumber"/>
          <w:rFonts w:asciiTheme="majorBidi" w:hAnsiTheme="majorBidi" w:cstheme="majorBidi"/>
          <w:sz w:val="24"/>
          <w:szCs w:val="24"/>
        </w:rPr>
        <w:t xml:space="preserve"> region of the egg-cylinder is found at its </w:t>
      </w:r>
      <w:proofErr w:type="spellStart"/>
      <w:r w:rsidRPr="00C71AD6">
        <w:rPr>
          <w:rStyle w:val="PageNumber"/>
          <w:rFonts w:asciiTheme="majorBidi" w:hAnsiTheme="majorBidi" w:cstheme="majorBidi"/>
          <w:sz w:val="24"/>
          <w:szCs w:val="24"/>
        </w:rPr>
        <w:t>antimesometrial</w:t>
      </w:r>
      <w:proofErr w:type="spellEnd"/>
      <w:r w:rsidRPr="00C71AD6">
        <w:rPr>
          <w:rStyle w:val="PageNumber"/>
          <w:rFonts w:asciiTheme="majorBidi" w:hAnsiTheme="majorBidi" w:cstheme="majorBidi"/>
          <w:sz w:val="24"/>
          <w:szCs w:val="24"/>
        </w:rPr>
        <w:t xml:space="preserve"> pole. This layer of the ectoderm forms the embryo proper. The ectoderm at this region consists of stratified columnar cells exhibited basophilic cytoplasm with oval nuclei and one or two densely stained nucleoli. Degenerated cells are investigated at the luminal surface of the embryonic ectoderm. These cells showed dense basophilic nuclei and deteriorated cytoplasm (Fig. </w:t>
      </w:r>
      <w:r w:rsidR="00CA34E4">
        <w:rPr>
          <w:rStyle w:val="PageNumber"/>
          <w:rFonts w:asciiTheme="majorBidi" w:hAnsiTheme="majorBidi" w:cstheme="majorBidi"/>
          <w:sz w:val="24"/>
          <w:szCs w:val="24"/>
        </w:rPr>
        <w:t>14</w:t>
      </w:r>
      <w:r w:rsidRPr="00C71AD6">
        <w:rPr>
          <w:rStyle w:val="PageNumber"/>
          <w:rFonts w:asciiTheme="majorBidi" w:hAnsiTheme="majorBidi" w:cstheme="majorBidi"/>
          <w:sz w:val="24"/>
          <w:szCs w:val="24"/>
        </w:rPr>
        <w:t xml:space="preserve">). The embryonic ectoderm at the posterior end of the embryo is thickened as a strip of cells forming the primitive streak, establishing the anterior-posterior axis of the embryo. Dorsal to the primitive streak is the posterior amniotic fold, which is formed previously from the proliferated mesoderm. Within this fold, a cavity is formed and the fold with its cavity expanded more and more dividing the </w:t>
      </w:r>
      <w:proofErr w:type="spellStart"/>
      <w:r w:rsidRPr="00C71AD6">
        <w:rPr>
          <w:rStyle w:val="PageNumber"/>
          <w:rFonts w:asciiTheme="majorBidi" w:hAnsiTheme="majorBidi" w:cstheme="majorBidi"/>
          <w:sz w:val="24"/>
          <w:szCs w:val="24"/>
        </w:rPr>
        <w:t>proamniotic</w:t>
      </w:r>
      <w:proofErr w:type="spellEnd"/>
      <w:r w:rsidRPr="00C71AD6">
        <w:rPr>
          <w:rStyle w:val="PageNumber"/>
          <w:rFonts w:asciiTheme="majorBidi" w:hAnsiTheme="majorBidi" w:cstheme="majorBidi"/>
          <w:sz w:val="24"/>
          <w:szCs w:val="24"/>
        </w:rPr>
        <w:t xml:space="preserve"> cavity into the three cavities mentioned before. The </w:t>
      </w:r>
      <w:proofErr w:type="spellStart"/>
      <w:r w:rsidRPr="00C71AD6">
        <w:rPr>
          <w:rStyle w:val="PageNumber"/>
          <w:rFonts w:asciiTheme="majorBidi" w:hAnsiTheme="majorBidi" w:cstheme="majorBidi"/>
          <w:sz w:val="24"/>
          <w:szCs w:val="24"/>
        </w:rPr>
        <w:t>ectodermal</w:t>
      </w:r>
      <w:proofErr w:type="spellEnd"/>
      <w:r w:rsidRPr="00C71AD6">
        <w:rPr>
          <w:rStyle w:val="PageNumber"/>
          <w:rFonts w:asciiTheme="majorBidi" w:hAnsiTheme="majorBidi" w:cstheme="majorBidi"/>
          <w:sz w:val="24"/>
          <w:szCs w:val="24"/>
        </w:rPr>
        <w:t xml:space="preserve"> cells found at the dorsal side of the embryonic ectoderm become elongated and flattened forming together with the extending </w:t>
      </w:r>
      <w:proofErr w:type="spellStart"/>
      <w:r w:rsidRPr="00C71AD6">
        <w:rPr>
          <w:rStyle w:val="PageNumber"/>
          <w:rFonts w:asciiTheme="majorBidi" w:hAnsiTheme="majorBidi" w:cstheme="majorBidi"/>
          <w:sz w:val="24"/>
          <w:szCs w:val="24"/>
        </w:rPr>
        <w:t>mesodermal</w:t>
      </w:r>
      <w:proofErr w:type="spellEnd"/>
      <w:r w:rsidRPr="00C71AD6">
        <w:rPr>
          <w:rStyle w:val="PageNumber"/>
          <w:rFonts w:asciiTheme="majorBidi" w:hAnsiTheme="majorBidi" w:cstheme="majorBidi"/>
          <w:sz w:val="24"/>
          <w:szCs w:val="24"/>
        </w:rPr>
        <w:t xml:space="preserve"> cells, the amnion which is the second embryonic membrane (Fig. </w:t>
      </w:r>
      <w:r w:rsidR="00CA34E4">
        <w:rPr>
          <w:rStyle w:val="PageNumber"/>
          <w:rFonts w:asciiTheme="majorBidi" w:hAnsiTheme="majorBidi" w:cstheme="majorBidi"/>
          <w:sz w:val="24"/>
          <w:szCs w:val="24"/>
        </w:rPr>
        <w:t>14</w:t>
      </w:r>
      <w:r w:rsidRPr="00C71AD6">
        <w:rPr>
          <w:rStyle w:val="PageNumber"/>
          <w:rFonts w:asciiTheme="majorBidi" w:hAnsiTheme="majorBidi" w:cstheme="majorBidi"/>
          <w:sz w:val="24"/>
          <w:szCs w:val="24"/>
        </w:rPr>
        <w:t>).</w:t>
      </w:r>
    </w:p>
    <w:p w:rsidR="008A5B51" w:rsidRPr="00C71AD6" w:rsidRDefault="008A5B51" w:rsidP="00CA34E4">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mesoderm found between the flattened proximal </w:t>
      </w:r>
      <w:proofErr w:type="spellStart"/>
      <w:r w:rsidRPr="00C71AD6">
        <w:rPr>
          <w:rStyle w:val="PageNumber"/>
          <w:rFonts w:asciiTheme="majorBidi" w:hAnsiTheme="majorBidi" w:cstheme="majorBidi"/>
          <w:sz w:val="24"/>
          <w:szCs w:val="24"/>
        </w:rPr>
        <w:t>endodermal</w:t>
      </w:r>
      <w:proofErr w:type="spellEnd"/>
      <w:r w:rsidRPr="00C71AD6">
        <w:rPr>
          <w:rStyle w:val="PageNumber"/>
          <w:rFonts w:asciiTheme="majorBidi" w:hAnsiTheme="majorBidi" w:cstheme="majorBidi"/>
          <w:sz w:val="24"/>
          <w:szCs w:val="24"/>
        </w:rPr>
        <w:t xml:space="preserve"> cells and the embryonic </w:t>
      </w:r>
      <w:proofErr w:type="spellStart"/>
      <w:r w:rsidRPr="00C71AD6">
        <w:rPr>
          <w:rStyle w:val="PageNumber"/>
          <w:rFonts w:asciiTheme="majorBidi" w:hAnsiTheme="majorBidi" w:cstheme="majorBidi"/>
          <w:sz w:val="24"/>
          <w:szCs w:val="24"/>
        </w:rPr>
        <w:t>ectodermal</w:t>
      </w:r>
      <w:proofErr w:type="spellEnd"/>
      <w:r w:rsidRPr="00C71AD6">
        <w:rPr>
          <w:rStyle w:val="PageNumber"/>
          <w:rFonts w:asciiTheme="majorBidi" w:hAnsiTheme="majorBidi" w:cstheme="majorBidi"/>
          <w:sz w:val="24"/>
          <w:szCs w:val="24"/>
        </w:rPr>
        <w:t xml:space="preserve"> cells extended </w:t>
      </w:r>
      <w:proofErr w:type="spellStart"/>
      <w:r w:rsidRPr="00C71AD6">
        <w:rPr>
          <w:rStyle w:val="PageNumber"/>
          <w:rFonts w:asciiTheme="majorBidi" w:hAnsiTheme="majorBidi" w:cstheme="majorBidi"/>
          <w:sz w:val="24"/>
          <w:szCs w:val="24"/>
        </w:rPr>
        <w:t>dorso</w:t>
      </w:r>
      <w:proofErr w:type="spellEnd"/>
      <w:r w:rsidRPr="00C71AD6">
        <w:rPr>
          <w:rStyle w:val="PageNumber"/>
          <w:rFonts w:asciiTheme="majorBidi" w:hAnsiTheme="majorBidi" w:cstheme="majorBidi"/>
          <w:sz w:val="24"/>
          <w:szCs w:val="24"/>
        </w:rPr>
        <w:t xml:space="preserve">-laterally on both sides of the egg-cylinder. The mesoderm is consisted of scattered </w:t>
      </w:r>
      <w:proofErr w:type="spellStart"/>
      <w:r w:rsidRPr="00C71AD6">
        <w:rPr>
          <w:rStyle w:val="PageNumber"/>
          <w:rFonts w:asciiTheme="majorBidi" w:hAnsiTheme="majorBidi" w:cstheme="majorBidi"/>
          <w:sz w:val="24"/>
          <w:szCs w:val="24"/>
        </w:rPr>
        <w:t>mesenchyme</w:t>
      </w:r>
      <w:proofErr w:type="spellEnd"/>
      <w:r w:rsidRPr="00C71AD6">
        <w:rPr>
          <w:rStyle w:val="PageNumber"/>
          <w:rFonts w:asciiTheme="majorBidi" w:hAnsiTheme="majorBidi" w:cstheme="majorBidi"/>
          <w:sz w:val="24"/>
          <w:szCs w:val="24"/>
        </w:rPr>
        <w:t xml:space="preserve"> cells basophilic stained showing round nuclei and one or two dense nucleoli. At the posterior end of the embryo, a mass of </w:t>
      </w:r>
      <w:proofErr w:type="spellStart"/>
      <w:r w:rsidRPr="00C71AD6">
        <w:rPr>
          <w:rStyle w:val="PageNumber"/>
          <w:rFonts w:asciiTheme="majorBidi" w:hAnsiTheme="majorBidi" w:cstheme="majorBidi"/>
          <w:sz w:val="24"/>
          <w:szCs w:val="24"/>
        </w:rPr>
        <w:t>mesodermal</w:t>
      </w:r>
      <w:proofErr w:type="spellEnd"/>
      <w:r w:rsidRPr="00C71AD6">
        <w:rPr>
          <w:rStyle w:val="PageNumber"/>
          <w:rFonts w:asciiTheme="majorBidi" w:hAnsiTheme="majorBidi" w:cstheme="majorBidi"/>
          <w:sz w:val="24"/>
          <w:szCs w:val="24"/>
        </w:rPr>
        <w:t xml:space="preserve"> cells is </w:t>
      </w:r>
      <w:proofErr w:type="spellStart"/>
      <w:r w:rsidRPr="00C71AD6">
        <w:rPr>
          <w:rStyle w:val="PageNumber"/>
          <w:rFonts w:asciiTheme="majorBidi" w:hAnsiTheme="majorBidi" w:cstheme="majorBidi"/>
          <w:sz w:val="24"/>
          <w:szCs w:val="24"/>
        </w:rPr>
        <w:t>bluging</w:t>
      </w:r>
      <w:proofErr w:type="spellEnd"/>
      <w:r w:rsidRPr="00C71AD6">
        <w:rPr>
          <w:rStyle w:val="PageNumber"/>
          <w:rFonts w:asciiTheme="majorBidi" w:hAnsiTheme="majorBidi" w:cstheme="majorBidi"/>
          <w:sz w:val="24"/>
          <w:szCs w:val="24"/>
        </w:rPr>
        <w:t xml:space="preserve"> into the </w:t>
      </w:r>
      <w:proofErr w:type="spellStart"/>
      <w:r w:rsidRPr="00C71AD6">
        <w:rPr>
          <w:rStyle w:val="PageNumber"/>
          <w:rFonts w:asciiTheme="majorBidi" w:hAnsiTheme="majorBidi" w:cstheme="majorBidi"/>
          <w:sz w:val="24"/>
          <w:szCs w:val="24"/>
        </w:rPr>
        <w:t>exocoelomic</w:t>
      </w:r>
      <w:proofErr w:type="spellEnd"/>
      <w:r w:rsidRPr="00C71AD6">
        <w:rPr>
          <w:rStyle w:val="PageNumber"/>
          <w:rFonts w:asciiTheme="majorBidi" w:hAnsiTheme="majorBidi" w:cstheme="majorBidi"/>
          <w:sz w:val="24"/>
          <w:szCs w:val="24"/>
        </w:rPr>
        <w:t xml:space="preserve"> cavity forming the </w:t>
      </w:r>
      <w:proofErr w:type="spellStart"/>
      <w:r w:rsidRPr="00C71AD6">
        <w:rPr>
          <w:rStyle w:val="PageNumber"/>
          <w:rFonts w:asciiTheme="majorBidi" w:hAnsiTheme="majorBidi" w:cstheme="majorBidi"/>
          <w:sz w:val="24"/>
          <w:szCs w:val="24"/>
        </w:rPr>
        <w:t>allantois</w:t>
      </w:r>
      <w:proofErr w:type="spellEnd"/>
      <w:r w:rsidRPr="00C71AD6">
        <w:rPr>
          <w:rStyle w:val="PageNumber"/>
          <w:rFonts w:asciiTheme="majorBidi" w:hAnsiTheme="majorBidi" w:cstheme="majorBidi"/>
          <w:sz w:val="24"/>
          <w:szCs w:val="24"/>
        </w:rPr>
        <w:t xml:space="preserve">, which is the third embryonic membrane (Fig. </w:t>
      </w:r>
      <w:r w:rsidR="00CA34E4">
        <w:rPr>
          <w:rStyle w:val="PageNumber"/>
          <w:rFonts w:asciiTheme="majorBidi" w:hAnsiTheme="majorBidi" w:cstheme="majorBidi"/>
          <w:sz w:val="24"/>
          <w:szCs w:val="24"/>
        </w:rPr>
        <w:t>14</w:t>
      </w:r>
      <w:r w:rsidRPr="00C71AD6">
        <w:rPr>
          <w:rStyle w:val="PageNumber"/>
          <w:rFonts w:asciiTheme="majorBidi" w:hAnsiTheme="majorBidi" w:cstheme="majorBidi"/>
          <w:sz w:val="24"/>
          <w:szCs w:val="24"/>
        </w:rPr>
        <w:t xml:space="preserve">). In addition, a small group of </w:t>
      </w:r>
      <w:proofErr w:type="spellStart"/>
      <w:r w:rsidRPr="00C71AD6">
        <w:rPr>
          <w:rStyle w:val="PageNumber"/>
          <w:rFonts w:asciiTheme="majorBidi" w:hAnsiTheme="majorBidi" w:cstheme="majorBidi"/>
          <w:sz w:val="24"/>
          <w:szCs w:val="24"/>
        </w:rPr>
        <w:t>mesodermal</w:t>
      </w:r>
      <w:proofErr w:type="spellEnd"/>
      <w:r w:rsidRPr="00C71AD6">
        <w:rPr>
          <w:rStyle w:val="PageNumber"/>
          <w:rFonts w:asciiTheme="majorBidi" w:hAnsiTheme="majorBidi" w:cstheme="majorBidi"/>
          <w:sz w:val="24"/>
          <w:szCs w:val="24"/>
        </w:rPr>
        <w:t xml:space="preserve"> cells accumulates at the anterior end of the embryo forming a fold within the </w:t>
      </w:r>
      <w:proofErr w:type="spellStart"/>
      <w:r w:rsidRPr="00C71AD6">
        <w:rPr>
          <w:rStyle w:val="PageNumber"/>
          <w:rFonts w:asciiTheme="majorBidi" w:hAnsiTheme="majorBidi" w:cstheme="majorBidi"/>
          <w:sz w:val="24"/>
          <w:szCs w:val="24"/>
        </w:rPr>
        <w:t>exocoelomic</w:t>
      </w:r>
      <w:proofErr w:type="spellEnd"/>
      <w:r w:rsidRPr="00C71AD6">
        <w:rPr>
          <w:rStyle w:val="PageNumber"/>
          <w:rFonts w:asciiTheme="majorBidi" w:hAnsiTheme="majorBidi" w:cstheme="majorBidi"/>
          <w:sz w:val="24"/>
          <w:szCs w:val="24"/>
        </w:rPr>
        <w:t xml:space="preserve"> cavity, the anterior amniotic fold; therefore, the anterior of the developing embryo is defined. By this mean the anterior-posterior axis of the embryo is more pronounced.</w:t>
      </w:r>
    </w:p>
    <w:p w:rsidR="008A5B51" w:rsidRPr="00C71AD6" w:rsidRDefault="008A5B51" w:rsidP="005E3D90">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middle region of the egg-cylinder is the </w:t>
      </w:r>
      <w:proofErr w:type="spellStart"/>
      <w:r w:rsidRPr="00C71AD6">
        <w:rPr>
          <w:rStyle w:val="PageNumber"/>
          <w:rFonts w:asciiTheme="majorBidi" w:hAnsiTheme="majorBidi" w:cstheme="majorBidi"/>
          <w:sz w:val="24"/>
          <w:szCs w:val="24"/>
        </w:rPr>
        <w:t>exocoelomic</w:t>
      </w:r>
      <w:proofErr w:type="spellEnd"/>
      <w:r w:rsidRPr="00C71AD6">
        <w:rPr>
          <w:rStyle w:val="PageNumber"/>
          <w:rFonts w:asciiTheme="majorBidi" w:hAnsiTheme="majorBidi" w:cstheme="majorBidi"/>
          <w:sz w:val="24"/>
          <w:szCs w:val="24"/>
        </w:rPr>
        <w:t xml:space="preserve"> region consists mainly of columnar proximal </w:t>
      </w:r>
      <w:proofErr w:type="spellStart"/>
      <w:r w:rsidRPr="00C71AD6">
        <w:rPr>
          <w:rStyle w:val="PageNumber"/>
          <w:rFonts w:asciiTheme="majorBidi" w:hAnsiTheme="majorBidi" w:cstheme="majorBidi"/>
          <w:sz w:val="24"/>
          <w:szCs w:val="24"/>
        </w:rPr>
        <w:t>endodermal</w:t>
      </w:r>
      <w:proofErr w:type="spellEnd"/>
      <w:r w:rsidRPr="00C71AD6">
        <w:rPr>
          <w:rStyle w:val="PageNumber"/>
          <w:rFonts w:asciiTheme="majorBidi" w:hAnsiTheme="majorBidi" w:cstheme="majorBidi"/>
          <w:sz w:val="24"/>
          <w:szCs w:val="24"/>
        </w:rPr>
        <w:t xml:space="preserve"> cells, at the outside, facing the yolk-sac cavity and </w:t>
      </w:r>
      <w:proofErr w:type="spellStart"/>
      <w:r w:rsidRPr="00C71AD6">
        <w:rPr>
          <w:rStyle w:val="PageNumber"/>
          <w:rFonts w:asciiTheme="majorBidi" w:hAnsiTheme="majorBidi" w:cstheme="majorBidi"/>
          <w:sz w:val="24"/>
          <w:szCs w:val="24"/>
        </w:rPr>
        <w:t>mesenchyme</w:t>
      </w:r>
      <w:proofErr w:type="spellEnd"/>
      <w:r w:rsidRPr="00C71AD6">
        <w:rPr>
          <w:rStyle w:val="PageNumber"/>
          <w:rFonts w:asciiTheme="majorBidi" w:hAnsiTheme="majorBidi" w:cstheme="majorBidi"/>
          <w:sz w:val="24"/>
          <w:szCs w:val="24"/>
        </w:rPr>
        <w:t xml:space="preserve"> cells that lining the </w:t>
      </w:r>
      <w:proofErr w:type="spellStart"/>
      <w:r w:rsidRPr="00C71AD6">
        <w:rPr>
          <w:rStyle w:val="PageNumber"/>
          <w:rFonts w:asciiTheme="majorBidi" w:hAnsiTheme="majorBidi" w:cstheme="majorBidi"/>
          <w:sz w:val="24"/>
          <w:szCs w:val="24"/>
        </w:rPr>
        <w:t>exocoelomic</w:t>
      </w:r>
      <w:proofErr w:type="spellEnd"/>
      <w:r w:rsidRPr="00C71AD6">
        <w:rPr>
          <w:rStyle w:val="PageNumber"/>
          <w:rFonts w:asciiTheme="majorBidi" w:hAnsiTheme="majorBidi" w:cstheme="majorBidi"/>
          <w:sz w:val="24"/>
          <w:szCs w:val="24"/>
        </w:rPr>
        <w:t xml:space="preserve"> cavity. The </w:t>
      </w:r>
      <w:proofErr w:type="spellStart"/>
      <w:r w:rsidRPr="00C71AD6">
        <w:rPr>
          <w:rStyle w:val="PageNumber"/>
          <w:rFonts w:asciiTheme="majorBidi" w:hAnsiTheme="majorBidi" w:cstheme="majorBidi"/>
          <w:sz w:val="24"/>
          <w:szCs w:val="24"/>
        </w:rPr>
        <w:t>exocoelomic</w:t>
      </w:r>
      <w:proofErr w:type="spellEnd"/>
      <w:r w:rsidRPr="00C71AD6">
        <w:rPr>
          <w:rStyle w:val="PageNumber"/>
          <w:rFonts w:asciiTheme="majorBidi" w:hAnsiTheme="majorBidi" w:cstheme="majorBidi"/>
          <w:sz w:val="24"/>
          <w:szCs w:val="24"/>
        </w:rPr>
        <w:t xml:space="preserve"> </w:t>
      </w:r>
      <w:proofErr w:type="spellStart"/>
      <w:r w:rsidRPr="00C71AD6">
        <w:rPr>
          <w:rStyle w:val="PageNumber"/>
          <w:rFonts w:asciiTheme="majorBidi" w:hAnsiTheme="majorBidi" w:cstheme="majorBidi"/>
          <w:sz w:val="24"/>
          <w:szCs w:val="24"/>
        </w:rPr>
        <w:t>mesodermal</w:t>
      </w:r>
      <w:proofErr w:type="spellEnd"/>
      <w:r w:rsidRPr="00C71AD6">
        <w:rPr>
          <w:rStyle w:val="PageNumber"/>
          <w:rFonts w:asciiTheme="majorBidi" w:hAnsiTheme="majorBidi" w:cstheme="majorBidi"/>
          <w:sz w:val="24"/>
          <w:szCs w:val="24"/>
        </w:rPr>
        <w:t xml:space="preserve"> cells are elongated or thin cells with round nuclei located in the middle of the cytoplasm. Few deteriorated round cells with </w:t>
      </w:r>
      <w:proofErr w:type="spellStart"/>
      <w:r w:rsidRPr="00C71AD6">
        <w:rPr>
          <w:rStyle w:val="PageNumber"/>
          <w:rFonts w:asciiTheme="majorBidi" w:hAnsiTheme="majorBidi" w:cstheme="majorBidi"/>
          <w:sz w:val="24"/>
          <w:szCs w:val="24"/>
        </w:rPr>
        <w:t>pyknotic</w:t>
      </w:r>
      <w:proofErr w:type="spellEnd"/>
      <w:r w:rsidRPr="00C71AD6">
        <w:rPr>
          <w:rStyle w:val="PageNumber"/>
          <w:rFonts w:asciiTheme="majorBidi" w:hAnsiTheme="majorBidi" w:cstheme="majorBidi"/>
          <w:sz w:val="24"/>
          <w:szCs w:val="24"/>
        </w:rPr>
        <w:t xml:space="preserve"> nuclei are </w:t>
      </w:r>
      <w:proofErr w:type="spellStart"/>
      <w:r w:rsidRPr="00C71AD6">
        <w:rPr>
          <w:rStyle w:val="PageNumber"/>
          <w:rFonts w:asciiTheme="majorBidi" w:hAnsiTheme="majorBidi" w:cstheme="majorBidi"/>
          <w:sz w:val="24"/>
          <w:szCs w:val="24"/>
        </w:rPr>
        <w:t>oftenely</w:t>
      </w:r>
      <w:proofErr w:type="spellEnd"/>
      <w:r w:rsidRPr="00C71AD6">
        <w:rPr>
          <w:rStyle w:val="PageNumber"/>
          <w:rFonts w:asciiTheme="majorBidi" w:hAnsiTheme="majorBidi" w:cstheme="majorBidi"/>
          <w:sz w:val="24"/>
          <w:szCs w:val="24"/>
        </w:rPr>
        <w:t xml:space="preserve"> observed in the </w:t>
      </w:r>
      <w:proofErr w:type="spellStart"/>
      <w:r w:rsidRPr="00C71AD6">
        <w:rPr>
          <w:rStyle w:val="PageNumber"/>
          <w:rFonts w:asciiTheme="majorBidi" w:hAnsiTheme="majorBidi" w:cstheme="majorBidi"/>
          <w:sz w:val="24"/>
          <w:szCs w:val="24"/>
        </w:rPr>
        <w:t>exocoelomic</w:t>
      </w:r>
      <w:proofErr w:type="spellEnd"/>
      <w:r w:rsidRPr="00C71AD6">
        <w:rPr>
          <w:rStyle w:val="PageNumber"/>
          <w:rFonts w:asciiTheme="majorBidi" w:hAnsiTheme="majorBidi" w:cstheme="majorBidi"/>
          <w:sz w:val="24"/>
          <w:szCs w:val="24"/>
        </w:rPr>
        <w:t xml:space="preserve"> cavity; most probably, they are of </w:t>
      </w:r>
      <w:proofErr w:type="spellStart"/>
      <w:r w:rsidRPr="00C71AD6">
        <w:rPr>
          <w:rStyle w:val="PageNumber"/>
          <w:rFonts w:asciiTheme="majorBidi" w:hAnsiTheme="majorBidi" w:cstheme="majorBidi"/>
          <w:sz w:val="24"/>
          <w:szCs w:val="24"/>
        </w:rPr>
        <w:t>mesodermal</w:t>
      </w:r>
      <w:proofErr w:type="spellEnd"/>
      <w:r w:rsidRPr="00C71AD6">
        <w:rPr>
          <w:rStyle w:val="PageNumber"/>
          <w:rFonts w:asciiTheme="majorBidi" w:hAnsiTheme="majorBidi" w:cstheme="majorBidi"/>
          <w:sz w:val="24"/>
          <w:szCs w:val="24"/>
        </w:rPr>
        <w:t xml:space="preserve"> origin.</w:t>
      </w:r>
    </w:p>
    <w:p w:rsidR="00E212D8" w:rsidRPr="00C71AD6" w:rsidRDefault="008A5B51" w:rsidP="005E3D90">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w:t>
      </w:r>
      <w:proofErr w:type="spellStart"/>
      <w:r w:rsidRPr="00C71AD6">
        <w:rPr>
          <w:rStyle w:val="PageNumber"/>
          <w:rFonts w:asciiTheme="majorBidi" w:hAnsiTheme="majorBidi" w:cstheme="majorBidi"/>
          <w:sz w:val="24"/>
          <w:szCs w:val="24"/>
        </w:rPr>
        <w:t>decidua</w:t>
      </w:r>
      <w:proofErr w:type="spellEnd"/>
      <w:r w:rsidRPr="00C71AD6">
        <w:rPr>
          <w:rStyle w:val="PageNumber"/>
          <w:rFonts w:asciiTheme="majorBidi" w:hAnsiTheme="majorBidi" w:cstheme="majorBidi"/>
          <w:sz w:val="24"/>
          <w:szCs w:val="24"/>
        </w:rPr>
        <w:t xml:space="preserve"> contains mono and </w:t>
      </w:r>
      <w:proofErr w:type="spellStart"/>
      <w:r w:rsidRPr="00C71AD6">
        <w:rPr>
          <w:rStyle w:val="PageNumber"/>
          <w:rFonts w:asciiTheme="majorBidi" w:hAnsiTheme="majorBidi" w:cstheme="majorBidi"/>
          <w:sz w:val="24"/>
          <w:szCs w:val="24"/>
        </w:rPr>
        <w:t>binucleate</w:t>
      </w:r>
      <w:proofErr w:type="spellEnd"/>
      <w:r w:rsidRPr="00C71AD6">
        <w:rPr>
          <w:rStyle w:val="PageNumber"/>
          <w:rFonts w:asciiTheme="majorBidi" w:hAnsiTheme="majorBidi" w:cstheme="majorBidi"/>
          <w:sz w:val="24"/>
          <w:szCs w:val="24"/>
        </w:rPr>
        <w:t xml:space="preserve"> cells </w:t>
      </w:r>
      <w:proofErr w:type="gramStart"/>
      <w:r w:rsidRPr="00C71AD6">
        <w:rPr>
          <w:rStyle w:val="PageNumber"/>
          <w:rFonts w:asciiTheme="majorBidi" w:hAnsiTheme="majorBidi" w:cstheme="majorBidi"/>
          <w:sz w:val="24"/>
          <w:szCs w:val="24"/>
        </w:rPr>
        <w:t>however,</w:t>
      </w:r>
      <w:proofErr w:type="gramEnd"/>
      <w:r w:rsidRPr="00C71AD6">
        <w:rPr>
          <w:rStyle w:val="PageNumber"/>
          <w:rFonts w:asciiTheme="majorBidi" w:hAnsiTheme="majorBidi" w:cstheme="majorBidi"/>
          <w:sz w:val="24"/>
          <w:szCs w:val="24"/>
        </w:rPr>
        <w:t xml:space="preserve"> tri and even </w:t>
      </w:r>
      <w:proofErr w:type="spellStart"/>
      <w:r w:rsidRPr="00C71AD6">
        <w:rPr>
          <w:rStyle w:val="PageNumber"/>
          <w:rFonts w:asciiTheme="majorBidi" w:hAnsiTheme="majorBidi" w:cstheme="majorBidi"/>
          <w:sz w:val="24"/>
          <w:szCs w:val="24"/>
        </w:rPr>
        <w:t>tetranucleate</w:t>
      </w:r>
      <w:proofErr w:type="spellEnd"/>
      <w:r w:rsidRPr="00C71AD6">
        <w:rPr>
          <w:rStyle w:val="PageNumber"/>
          <w:rFonts w:asciiTheme="majorBidi" w:hAnsiTheme="majorBidi" w:cstheme="majorBidi"/>
          <w:sz w:val="24"/>
          <w:szCs w:val="24"/>
        </w:rPr>
        <w:t xml:space="preserve"> cells are </w:t>
      </w:r>
      <w:proofErr w:type="spellStart"/>
      <w:r w:rsidRPr="00C71AD6">
        <w:rPr>
          <w:rStyle w:val="PageNumber"/>
          <w:rFonts w:asciiTheme="majorBidi" w:hAnsiTheme="majorBidi" w:cstheme="majorBidi"/>
          <w:sz w:val="24"/>
          <w:szCs w:val="24"/>
        </w:rPr>
        <w:t>oftenely</w:t>
      </w:r>
      <w:proofErr w:type="spellEnd"/>
      <w:r w:rsidRPr="00C71AD6">
        <w:rPr>
          <w:rStyle w:val="PageNumber"/>
          <w:rFonts w:asciiTheme="majorBidi" w:hAnsiTheme="majorBidi" w:cstheme="majorBidi"/>
          <w:sz w:val="24"/>
          <w:szCs w:val="24"/>
        </w:rPr>
        <w:t xml:space="preserve"> present. In the </w:t>
      </w:r>
      <w:proofErr w:type="spellStart"/>
      <w:r w:rsidRPr="00C71AD6">
        <w:rPr>
          <w:rStyle w:val="PageNumber"/>
          <w:rFonts w:asciiTheme="majorBidi" w:hAnsiTheme="majorBidi" w:cstheme="majorBidi"/>
          <w:sz w:val="24"/>
          <w:szCs w:val="24"/>
        </w:rPr>
        <w:t>decidua</w:t>
      </w:r>
      <w:proofErr w:type="spellEnd"/>
      <w:r w:rsidRPr="00C71AD6">
        <w:rPr>
          <w:rStyle w:val="PageNumber"/>
          <w:rFonts w:asciiTheme="majorBidi" w:hAnsiTheme="majorBidi" w:cstheme="majorBidi"/>
          <w:sz w:val="24"/>
          <w:szCs w:val="24"/>
        </w:rPr>
        <w:t xml:space="preserve"> the blood looses from ruptured blood capillaries </w:t>
      </w:r>
      <w:proofErr w:type="spellStart"/>
      <w:r w:rsidRPr="00C71AD6">
        <w:rPr>
          <w:rStyle w:val="PageNumber"/>
          <w:rFonts w:asciiTheme="majorBidi" w:hAnsiTheme="majorBidi" w:cstheme="majorBidi"/>
          <w:sz w:val="24"/>
          <w:szCs w:val="24"/>
        </w:rPr>
        <w:t>pathing</w:t>
      </w:r>
      <w:proofErr w:type="spellEnd"/>
      <w:r w:rsidRPr="00C71AD6">
        <w:rPr>
          <w:rStyle w:val="PageNumber"/>
          <w:rFonts w:asciiTheme="majorBidi" w:hAnsiTheme="majorBidi" w:cstheme="majorBidi"/>
          <w:sz w:val="24"/>
          <w:szCs w:val="24"/>
        </w:rPr>
        <w:t xml:space="preserve"> to the embryo almost directly or through the </w:t>
      </w:r>
      <w:proofErr w:type="spellStart"/>
      <w:r w:rsidRPr="00C71AD6">
        <w:rPr>
          <w:rStyle w:val="PageNumber"/>
          <w:rFonts w:asciiTheme="majorBidi" w:hAnsiTheme="majorBidi" w:cstheme="majorBidi"/>
          <w:sz w:val="24"/>
          <w:szCs w:val="24"/>
        </w:rPr>
        <w:t>trophectoderm</w:t>
      </w:r>
      <w:proofErr w:type="spellEnd"/>
      <w:r w:rsidRPr="00C71AD6">
        <w:rPr>
          <w:rStyle w:val="PageNumber"/>
          <w:rFonts w:asciiTheme="majorBidi" w:hAnsiTheme="majorBidi" w:cstheme="majorBidi"/>
          <w:sz w:val="24"/>
          <w:szCs w:val="24"/>
        </w:rPr>
        <w:t xml:space="preserve"> and the distal endoderm.</w:t>
      </w:r>
    </w:p>
    <w:p w:rsidR="00E212D8" w:rsidRPr="00C71AD6" w:rsidRDefault="00E212D8" w:rsidP="00CA34E4">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lastRenderedPageBreak/>
        <w:t>Cylindrical</w:t>
      </w:r>
      <w:r w:rsidR="008A5B51" w:rsidRPr="00C71AD6">
        <w:rPr>
          <w:rStyle w:val="PageNumber"/>
          <w:rFonts w:asciiTheme="majorBidi" w:hAnsiTheme="majorBidi" w:cstheme="majorBidi"/>
          <w:sz w:val="24"/>
          <w:szCs w:val="24"/>
        </w:rPr>
        <w:t xml:space="preserve"> embryos obtained from pregnant mothers treated for 21 days before pregnancy and for 7 days during pregnancy with low dose of TCE (24 mg/kg </w:t>
      </w:r>
      <w:proofErr w:type="spellStart"/>
      <w:r w:rsidR="008A5B51" w:rsidRPr="00C71AD6">
        <w:rPr>
          <w:rStyle w:val="PageNumber"/>
          <w:rFonts w:asciiTheme="majorBidi" w:hAnsiTheme="majorBidi" w:cstheme="majorBidi"/>
          <w:sz w:val="24"/>
          <w:szCs w:val="24"/>
        </w:rPr>
        <w:t>b.w</w:t>
      </w:r>
      <w:proofErr w:type="spellEnd"/>
      <w:r w:rsidR="008A5B51" w:rsidRPr="00C71AD6">
        <w:rPr>
          <w:rStyle w:val="PageNumber"/>
          <w:rFonts w:asciiTheme="majorBidi" w:hAnsiTheme="majorBidi" w:cstheme="majorBidi"/>
          <w:sz w:val="24"/>
          <w:szCs w:val="24"/>
        </w:rPr>
        <w:t xml:space="preserve">.) showed some variations in the form and structure from the normal (control) embryos (Fig. 11). Two main cavities were observed; </w:t>
      </w:r>
      <w:proofErr w:type="spellStart"/>
      <w:r w:rsidR="008A5B51" w:rsidRPr="00C71AD6">
        <w:rPr>
          <w:rStyle w:val="PageNumber"/>
          <w:rFonts w:asciiTheme="majorBidi" w:hAnsiTheme="majorBidi" w:cstheme="majorBidi"/>
          <w:sz w:val="24"/>
          <w:szCs w:val="24"/>
        </w:rPr>
        <w:t>exocoelomic</w:t>
      </w:r>
      <w:proofErr w:type="spellEnd"/>
      <w:r w:rsidR="008A5B51" w:rsidRPr="00C71AD6">
        <w:rPr>
          <w:rStyle w:val="PageNumber"/>
          <w:rFonts w:asciiTheme="majorBidi" w:hAnsiTheme="majorBidi" w:cstheme="majorBidi"/>
          <w:sz w:val="24"/>
          <w:szCs w:val="24"/>
        </w:rPr>
        <w:t xml:space="preserve"> and </w:t>
      </w:r>
      <w:proofErr w:type="spellStart"/>
      <w:r w:rsidR="008A5B51" w:rsidRPr="00C71AD6">
        <w:rPr>
          <w:rStyle w:val="PageNumber"/>
          <w:rFonts w:asciiTheme="majorBidi" w:hAnsiTheme="majorBidi" w:cstheme="majorBidi"/>
          <w:sz w:val="24"/>
          <w:szCs w:val="24"/>
        </w:rPr>
        <w:t>proamniotic</w:t>
      </w:r>
      <w:proofErr w:type="spellEnd"/>
      <w:r w:rsidR="008A5B51" w:rsidRPr="00C71AD6">
        <w:rPr>
          <w:rStyle w:val="PageNumber"/>
          <w:rFonts w:asciiTheme="majorBidi" w:hAnsiTheme="majorBidi" w:cstheme="majorBidi"/>
          <w:sz w:val="24"/>
          <w:szCs w:val="24"/>
        </w:rPr>
        <w:t xml:space="preserve"> cavities. This embryo was retarded than that obtained from normal pregnancy. It showed necrotic mass of cells in the </w:t>
      </w:r>
      <w:proofErr w:type="spellStart"/>
      <w:r w:rsidR="008A5B51" w:rsidRPr="00C71AD6">
        <w:rPr>
          <w:rStyle w:val="PageNumber"/>
          <w:rFonts w:asciiTheme="majorBidi" w:hAnsiTheme="majorBidi" w:cstheme="majorBidi"/>
          <w:sz w:val="24"/>
          <w:szCs w:val="24"/>
        </w:rPr>
        <w:t>extraembryonic</w:t>
      </w:r>
      <w:proofErr w:type="spellEnd"/>
      <w:r w:rsidR="008A5B51" w:rsidRPr="00C71AD6">
        <w:rPr>
          <w:rStyle w:val="PageNumber"/>
          <w:rFonts w:asciiTheme="majorBidi" w:hAnsiTheme="majorBidi" w:cstheme="majorBidi"/>
          <w:sz w:val="24"/>
          <w:szCs w:val="24"/>
        </w:rPr>
        <w:t xml:space="preserve"> region. This mass displayed highly vacuolated cells and cell remnants. Large densely stained cells probably phagocytes were also present. Most probably, this necrotic mass comprised degenerated cells from the proximal endoderm and the adjacent </w:t>
      </w:r>
      <w:proofErr w:type="spellStart"/>
      <w:r w:rsidR="008A5B51" w:rsidRPr="00C71AD6">
        <w:rPr>
          <w:rStyle w:val="PageNumber"/>
          <w:rFonts w:asciiTheme="majorBidi" w:hAnsiTheme="majorBidi" w:cstheme="majorBidi"/>
          <w:sz w:val="24"/>
          <w:szCs w:val="24"/>
        </w:rPr>
        <w:t>extraembryonic</w:t>
      </w:r>
      <w:proofErr w:type="spellEnd"/>
      <w:r w:rsidR="008A5B51" w:rsidRPr="00C71AD6">
        <w:rPr>
          <w:rStyle w:val="PageNumber"/>
          <w:rFonts w:asciiTheme="majorBidi" w:hAnsiTheme="majorBidi" w:cstheme="majorBidi"/>
          <w:sz w:val="24"/>
          <w:szCs w:val="24"/>
        </w:rPr>
        <w:t xml:space="preserve"> ectoderm. Few degenerated cells were seen in the yolk-sac cavity between the proximal and distal endoderm (Figs </w:t>
      </w:r>
      <w:r w:rsidR="00CA34E4">
        <w:rPr>
          <w:rStyle w:val="PageNumber"/>
          <w:rFonts w:asciiTheme="majorBidi" w:hAnsiTheme="majorBidi" w:cstheme="majorBidi"/>
          <w:sz w:val="24"/>
          <w:szCs w:val="24"/>
        </w:rPr>
        <w:t>15</w:t>
      </w:r>
      <w:r w:rsidR="008A5B51" w:rsidRPr="00C71AD6">
        <w:rPr>
          <w:rStyle w:val="PageNumber"/>
          <w:rFonts w:asciiTheme="majorBidi" w:hAnsiTheme="majorBidi" w:cstheme="majorBidi"/>
          <w:sz w:val="24"/>
          <w:szCs w:val="24"/>
        </w:rPr>
        <w:t>&amp;1</w:t>
      </w:r>
      <w:r w:rsidR="00CA34E4">
        <w:rPr>
          <w:rStyle w:val="PageNumber"/>
          <w:rFonts w:asciiTheme="majorBidi" w:hAnsiTheme="majorBidi" w:cstheme="majorBidi"/>
          <w:sz w:val="24"/>
          <w:szCs w:val="24"/>
        </w:rPr>
        <w:t>6</w:t>
      </w:r>
      <w:r w:rsidR="008A5B51" w:rsidRPr="00C71AD6">
        <w:rPr>
          <w:rStyle w:val="PageNumber"/>
          <w:rFonts w:asciiTheme="majorBidi" w:hAnsiTheme="majorBidi" w:cstheme="majorBidi"/>
          <w:sz w:val="24"/>
          <w:szCs w:val="24"/>
        </w:rPr>
        <w:t>).</w:t>
      </w:r>
    </w:p>
    <w:p w:rsidR="00E212D8" w:rsidRPr="00C71AD6" w:rsidRDefault="008A5B51" w:rsidP="005E3D90">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embryonic ectoderm showed numerous vacuolated cells with dense nuclei, the mesoderm was consisted of dispersed unidentifiable cells found at one lateral side of the embryonic ectoderm and not around it. This picture was not found in a comparable stage of normal pregnancy. Dissociated and disrupted proximal </w:t>
      </w:r>
      <w:proofErr w:type="spellStart"/>
      <w:r w:rsidRPr="00C71AD6">
        <w:rPr>
          <w:rStyle w:val="PageNumber"/>
          <w:rFonts w:asciiTheme="majorBidi" w:hAnsiTheme="majorBidi" w:cstheme="majorBidi"/>
          <w:sz w:val="24"/>
          <w:szCs w:val="24"/>
        </w:rPr>
        <w:t>endodermal</w:t>
      </w:r>
      <w:proofErr w:type="spellEnd"/>
      <w:r w:rsidRPr="00C71AD6">
        <w:rPr>
          <w:rStyle w:val="PageNumber"/>
          <w:rFonts w:asciiTheme="majorBidi" w:hAnsiTheme="majorBidi" w:cstheme="majorBidi"/>
          <w:sz w:val="24"/>
          <w:szCs w:val="24"/>
        </w:rPr>
        <w:t xml:space="preserve"> cells were found mainly at the junction between the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and embryonic ectoderm. The </w:t>
      </w:r>
      <w:proofErr w:type="spellStart"/>
      <w:r w:rsidRPr="00C71AD6">
        <w:rPr>
          <w:rStyle w:val="PageNumber"/>
          <w:rFonts w:asciiTheme="majorBidi" w:hAnsiTheme="majorBidi" w:cstheme="majorBidi"/>
          <w:sz w:val="24"/>
          <w:szCs w:val="24"/>
        </w:rPr>
        <w:t>decidua</w:t>
      </w:r>
      <w:proofErr w:type="spellEnd"/>
      <w:r w:rsidRPr="00C71AD6">
        <w:rPr>
          <w:rStyle w:val="PageNumber"/>
          <w:rFonts w:asciiTheme="majorBidi" w:hAnsiTheme="majorBidi" w:cstheme="majorBidi"/>
          <w:sz w:val="24"/>
          <w:szCs w:val="24"/>
        </w:rPr>
        <w:t xml:space="preserve"> around the embryo looks normal and pools of maternal blood were shown. Some </w:t>
      </w:r>
      <w:proofErr w:type="spellStart"/>
      <w:r w:rsidRPr="00C71AD6">
        <w:rPr>
          <w:rStyle w:val="PageNumber"/>
          <w:rFonts w:asciiTheme="majorBidi" w:hAnsiTheme="majorBidi" w:cstheme="majorBidi"/>
          <w:sz w:val="24"/>
          <w:szCs w:val="24"/>
        </w:rPr>
        <w:t>decidual</w:t>
      </w:r>
      <w:proofErr w:type="spellEnd"/>
      <w:r w:rsidRPr="00C71AD6">
        <w:rPr>
          <w:rStyle w:val="PageNumber"/>
          <w:rFonts w:asciiTheme="majorBidi" w:hAnsiTheme="majorBidi" w:cstheme="majorBidi"/>
          <w:sz w:val="24"/>
          <w:szCs w:val="24"/>
        </w:rPr>
        <w:t xml:space="preserve"> cells were vacuolated with densely stained nuclei (Fig. 30)</w:t>
      </w:r>
    </w:p>
    <w:p w:rsidR="00E212D8" w:rsidRPr="00C71AD6" w:rsidRDefault="008A5B51" w:rsidP="005E3D90">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Examination of 8-day embryos (180h p.c.) obtained from pregnant mice treated previously before mating for 21 days and during pregnancy for 7 days with high dose of TCE (240 mg/kg </w:t>
      </w:r>
      <w:proofErr w:type="spellStart"/>
      <w:r w:rsidRPr="00C71AD6">
        <w:rPr>
          <w:rStyle w:val="PageNumber"/>
          <w:rFonts w:asciiTheme="majorBidi" w:hAnsiTheme="majorBidi" w:cstheme="majorBidi"/>
          <w:sz w:val="24"/>
          <w:szCs w:val="24"/>
        </w:rPr>
        <w:t>b.w</w:t>
      </w:r>
      <w:proofErr w:type="spellEnd"/>
      <w:r w:rsidRPr="00C71AD6">
        <w:rPr>
          <w:rStyle w:val="PageNumber"/>
          <w:rFonts w:asciiTheme="majorBidi" w:hAnsiTheme="majorBidi" w:cstheme="majorBidi"/>
          <w:sz w:val="24"/>
          <w:szCs w:val="24"/>
        </w:rPr>
        <w:t xml:space="preserve">.) showed that most embryos are of normal </w:t>
      </w:r>
      <w:proofErr w:type="spellStart"/>
      <w:r w:rsidRPr="00C71AD6">
        <w:rPr>
          <w:rStyle w:val="PageNumber"/>
          <w:rFonts w:asciiTheme="majorBidi" w:hAnsiTheme="majorBidi" w:cstheme="majorBidi"/>
          <w:sz w:val="24"/>
          <w:szCs w:val="24"/>
        </w:rPr>
        <w:t>histoarchitecture</w:t>
      </w:r>
      <w:proofErr w:type="spellEnd"/>
      <w:r w:rsidRPr="00C71AD6">
        <w:rPr>
          <w:rStyle w:val="PageNumber"/>
          <w:rFonts w:asciiTheme="majorBidi" w:hAnsiTheme="majorBidi" w:cstheme="majorBidi"/>
          <w:sz w:val="24"/>
          <w:szCs w:val="24"/>
        </w:rPr>
        <w:t xml:space="preserve"> as those obtained from normal pregnancy (Fig. 24). However, retarded, deformed and sometimes degenerated embryos were demonstrated.</w:t>
      </w:r>
    </w:p>
    <w:p w:rsidR="00E212D8" w:rsidRPr="00C71AD6" w:rsidRDefault="008A5B51" w:rsidP="005E3D90">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Figure 32 illustrates a retarded embryo, the structure of which represents a stage of development between day 6 and day 8 of pregnancy. The </w:t>
      </w:r>
      <w:proofErr w:type="spellStart"/>
      <w:r w:rsidRPr="00C71AD6">
        <w:rPr>
          <w:rStyle w:val="PageNumber"/>
          <w:rFonts w:asciiTheme="majorBidi" w:hAnsiTheme="majorBidi" w:cstheme="majorBidi"/>
          <w:sz w:val="24"/>
          <w:szCs w:val="24"/>
        </w:rPr>
        <w:t>ectochorionic</w:t>
      </w:r>
      <w:proofErr w:type="spellEnd"/>
      <w:r w:rsidRPr="00C71AD6">
        <w:rPr>
          <w:rStyle w:val="PageNumber"/>
          <w:rFonts w:asciiTheme="majorBidi" w:hAnsiTheme="majorBidi" w:cstheme="majorBidi"/>
          <w:sz w:val="24"/>
          <w:szCs w:val="24"/>
        </w:rPr>
        <w:t xml:space="preserve"> cavity was separated from the </w:t>
      </w:r>
      <w:proofErr w:type="spellStart"/>
      <w:r w:rsidRPr="00C71AD6">
        <w:rPr>
          <w:rStyle w:val="PageNumber"/>
          <w:rFonts w:asciiTheme="majorBidi" w:hAnsiTheme="majorBidi" w:cstheme="majorBidi"/>
          <w:sz w:val="24"/>
          <w:szCs w:val="24"/>
        </w:rPr>
        <w:t>proamniotic</w:t>
      </w:r>
      <w:proofErr w:type="spellEnd"/>
      <w:r w:rsidRPr="00C71AD6">
        <w:rPr>
          <w:rStyle w:val="PageNumber"/>
          <w:rFonts w:asciiTheme="majorBidi" w:hAnsiTheme="majorBidi" w:cstheme="majorBidi"/>
          <w:sz w:val="24"/>
          <w:szCs w:val="24"/>
        </w:rPr>
        <w:t xml:space="preserve"> one by a thick layer of the embryonic ectoderm. The </w:t>
      </w:r>
      <w:proofErr w:type="spellStart"/>
      <w:r w:rsidRPr="00C71AD6">
        <w:rPr>
          <w:rStyle w:val="PageNumber"/>
          <w:rFonts w:asciiTheme="majorBidi" w:hAnsiTheme="majorBidi" w:cstheme="majorBidi"/>
          <w:sz w:val="24"/>
          <w:szCs w:val="24"/>
        </w:rPr>
        <w:t>exocoelomic</w:t>
      </w:r>
      <w:proofErr w:type="spellEnd"/>
      <w:r w:rsidRPr="00C71AD6">
        <w:rPr>
          <w:rStyle w:val="PageNumber"/>
          <w:rFonts w:asciiTheme="majorBidi" w:hAnsiTheme="majorBidi" w:cstheme="majorBidi"/>
          <w:sz w:val="24"/>
          <w:szCs w:val="24"/>
        </w:rPr>
        <w:t xml:space="preserve"> cavity and the </w:t>
      </w:r>
      <w:proofErr w:type="spellStart"/>
      <w:r w:rsidRPr="00C71AD6">
        <w:rPr>
          <w:rStyle w:val="PageNumber"/>
          <w:rFonts w:asciiTheme="majorBidi" w:hAnsiTheme="majorBidi" w:cstheme="majorBidi"/>
          <w:sz w:val="24"/>
          <w:szCs w:val="24"/>
        </w:rPr>
        <w:t>allantois</w:t>
      </w:r>
      <w:proofErr w:type="spellEnd"/>
      <w:r w:rsidRPr="00C71AD6">
        <w:rPr>
          <w:rStyle w:val="PageNumber"/>
          <w:rFonts w:asciiTheme="majorBidi" w:hAnsiTheme="majorBidi" w:cstheme="majorBidi"/>
          <w:sz w:val="24"/>
          <w:szCs w:val="24"/>
        </w:rPr>
        <w:t xml:space="preserve"> were absent. The mesoderm was found at the junction between the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and embryonic ectoderm, extending downwards between the embryonic ectoderm and the proximal endoderm. Several embryonic </w:t>
      </w:r>
      <w:proofErr w:type="spellStart"/>
      <w:r w:rsidRPr="00C71AD6">
        <w:rPr>
          <w:rStyle w:val="PageNumber"/>
          <w:rFonts w:asciiTheme="majorBidi" w:hAnsiTheme="majorBidi" w:cstheme="majorBidi"/>
          <w:sz w:val="24"/>
          <w:szCs w:val="24"/>
        </w:rPr>
        <w:t>ectodermal</w:t>
      </w:r>
      <w:proofErr w:type="spellEnd"/>
      <w:r w:rsidRPr="00C71AD6">
        <w:rPr>
          <w:rStyle w:val="PageNumber"/>
          <w:rFonts w:asciiTheme="majorBidi" w:hAnsiTheme="majorBidi" w:cstheme="majorBidi"/>
          <w:sz w:val="24"/>
          <w:szCs w:val="24"/>
        </w:rPr>
        <w:t xml:space="preserve"> cells showed vacuoles and dense </w:t>
      </w:r>
      <w:proofErr w:type="spellStart"/>
      <w:r w:rsidRPr="00C71AD6">
        <w:rPr>
          <w:rStyle w:val="PageNumber"/>
          <w:rFonts w:asciiTheme="majorBidi" w:hAnsiTheme="majorBidi" w:cstheme="majorBidi"/>
          <w:sz w:val="24"/>
          <w:szCs w:val="24"/>
        </w:rPr>
        <w:t>pyknotic</w:t>
      </w:r>
      <w:proofErr w:type="spellEnd"/>
      <w:r w:rsidRPr="00C71AD6">
        <w:rPr>
          <w:rStyle w:val="PageNumber"/>
          <w:rFonts w:asciiTheme="majorBidi" w:hAnsiTheme="majorBidi" w:cstheme="majorBidi"/>
          <w:sz w:val="24"/>
          <w:szCs w:val="24"/>
        </w:rPr>
        <w:t xml:space="preserve"> nuclei. Cells of the </w:t>
      </w:r>
      <w:proofErr w:type="spellStart"/>
      <w:r w:rsidRPr="00C71AD6">
        <w:rPr>
          <w:rStyle w:val="PageNumber"/>
          <w:rFonts w:asciiTheme="majorBidi" w:hAnsiTheme="majorBidi" w:cstheme="majorBidi"/>
          <w:sz w:val="24"/>
          <w:szCs w:val="24"/>
        </w:rPr>
        <w:t>ectoplacental</w:t>
      </w:r>
      <w:proofErr w:type="spellEnd"/>
      <w:r w:rsidRPr="00C71AD6">
        <w:rPr>
          <w:rStyle w:val="PageNumber"/>
          <w:rFonts w:asciiTheme="majorBidi" w:hAnsiTheme="majorBidi" w:cstheme="majorBidi"/>
          <w:sz w:val="24"/>
          <w:szCs w:val="24"/>
        </w:rPr>
        <w:t xml:space="preserve"> cone were highly vacuolated and the underneath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ectoderm showed disorganized cells. Large densely stained cells were observed in the </w:t>
      </w:r>
      <w:proofErr w:type="spellStart"/>
      <w:r w:rsidRPr="00C71AD6">
        <w:rPr>
          <w:rStyle w:val="PageNumber"/>
          <w:rFonts w:asciiTheme="majorBidi" w:hAnsiTheme="majorBidi" w:cstheme="majorBidi"/>
          <w:sz w:val="24"/>
          <w:szCs w:val="24"/>
        </w:rPr>
        <w:t>decidua</w:t>
      </w:r>
      <w:proofErr w:type="spellEnd"/>
      <w:r w:rsidRPr="00C71AD6">
        <w:rPr>
          <w:rStyle w:val="PageNumber"/>
          <w:rFonts w:asciiTheme="majorBidi" w:hAnsiTheme="majorBidi" w:cstheme="majorBidi"/>
          <w:sz w:val="24"/>
          <w:szCs w:val="24"/>
        </w:rPr>
        <w:t xml:space="preserve"> around the embryo probably representing phagocytes. The blood islands, found around normal embryos at this stage of development, were absent.</w:t>
      </w:r>
    </w:p>
    <w:p w:rsidR="00E212D8" w:rsidRPr="00C71AD6" w:rsidRDefault="008A5B51" w:rsidP="005E3D90">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Some other egg-cylinders obtained from high dose TCE treatment exhibited a deformed structure (Fig. 33). Again, the general architecture of the egg-cylinder represents a stage of </w:t>
      </w:r>
      <w:r w:rsidRPr="00C71AD6">
        <w:rPr>
          <w:rStyle w:val="PageNumber"/>
          <w:rFonts w:asciiTheme="majorBidi" w:hAnsiTheme="majorBidi" w:cstheme="majorBidi"/>
          <w:sz w:val="24"/>
          <w:szCs w:val="24"/>
        </w:rPr>
        <w:lastRenderedPageBreak/>
        <w:t xml:space="preserve">development before day 8 of normal pregnancy. The histological appearance of this embryo showed unidentifiable layers and cells. The </w:t>
      </w:r>
      <w:proofErr w:type="spellStart"/>
      <w:r w:rsidRPr="00C71AD6">
        <w:rPr>
          <w:rStyle w:val="PageNumber"/>
          <w:rFonts w:asciiTheme="majorBidi" w:hAnsiTheme="majorBidi" w:cstheme="majorBidi"/>
          <w:sz w:val="24"/>
          <w:szCs w:val="24"/>
        </w:rPr>
        <w:t>ectoplacental</w:t>
      </w:r>
      <w:proofErr w:type="spellEnd"/>
      <w:r w:rsidRPr="00C71AD6">
        <w:rPr>
          <w:rStyle w:val="PageNumber"/>
          <w:rFonts w:asciiTheme="majorBidi" w:hAnsiTheme="majorBidi" w:cstheme="majorBidi"/>
          <w:sz w:val="24"/>
          <w:szCs w:val="24"/>
        </w:rPr>
        <w:t xml:space="preserve"> cone is represented by a small group of cells found at the </w:t>
      </w:r>
      <w:proofErr w:type="spellStart"/>
      <w:r w:rsidRPr="00C71AD6">
        <w:rPr>
          <w:rStyle w:val="PageNumber"/>
          <w:rFonts w:asciiTheme="majorBidi" w:hAnsiTheme="majorBidi" w:cstheme="majorBidi"/>
          <w:sz w:val="24"/>
          <w:szCs w:val="24"/>
        </w:rPr>
        <w:t>mesometrial</w:t>
      </w:r>
      <w:proofErr w:type="spellEnd"/>
      <w:r w:rsidRPr="00C71AD6">
        <w:rPr>
          <w:rStyle w:val="PageNumber"/>
          <w:rFonts w:asciiTheme="majorBidi" w:hAnsiTheme="majorBidi" w:cstheme="majorBidi"/>
          <w:sz w:val="24"/>
          <w:szCs w:val="24"/>
        </w:rPr>
        <w:t xml:space="preserve"> pole of the embryo. Abnormal tongue like-structure from the proximal endoderm consisted of degenerated cells was seen in the dilated yolk-sac cavity. The </w:t>
      </w:r>
      <w:proofErr w:type="spellStart"/>
      <w:r w:rsidRPr="00C71AD6">
        <w:rPr>
          <w:rStyle w:val="PageNumber"/>
          <w:rFonts w:asciiTheme="majorBidi" w:hAnsiTheme="majorBidi" w:cstheme="majorBidi"/>
          <w:sz w:val="24"/>
          <w:szCs w:val="24"/>
        </w:rPr>
        <w:t>extraembryonic</w:t>
      </w:r>
      <w:proofErr w:type="spellEnd"/>
      <w:r w:rsidRPr="00C71AD6">
        <w:rPr>
          <w:rStyle w:val="PageNumber"/>
          <w:rFonts w:asciiTheme="majorBidi" w:hAnsiTheme="majorBidi" w:cstheme="majorBidi"/>
          <w:sz w:val="24"/>
          <w:szCs w:val="24"/>
        </w:rPr>
        <w:t xml:space="preserve"> and embryonic ectoderm consisted of disorganized cells. The </w:t>
      </w:r>
      <w:proofErr w:type="spellStart"/>
      <w:r w:rsidRPr="00C71AD6">
        <w:rPr>
          <w:rStyle w:val="PageNumber"/>
          <w:rFonts w:asciiTheme="majorBidi" w:hAnsiTheme="majorBidi" w:cstheme="majorBidi"/>
          <w:sz w:val="24"/>
          <w:szCs w:val="24"/>
        </w:rPr>
        <w:t>mesodermal</w:t>
      </w:r>
      <w:proofErr w:type="spellEnd"/>
      <w:r w:rsidRPr="00C71AD6">
        <w:rPr>
          <w:rStyle w:val="PageNumber"/>
          <w:rFonts w:asciiTheme="majorBidi" w:hAnsiTheme="majorBidi" w:cstheme="majorBidi"/>
          <w:sz w:val="24"/>
          <w:szCs w:val="24"/>
        </w:rPr>
        <w:t xml:space="preserve"> cells appear at one side of the embryo extending downwards. The posterior amniotic fold was not fully expanded within which small </w:t>
      </w:r>
      <w:proofErr w:type="spellStart"/>
      <w:r w:rsidRPr="00C71AD6">
        <w:rPr>
          <w:rStyle w:val="PageNumber"/>
          <w:rFonts w:asciiTheme="majorBidi" w:hAnsiTheme="majorBidi" w:cstheme="majorBidi"/>
          <w:sz w:val="24"/>
          <w:szCs w:val="24"/>
        </w:rPr>
        <w:t>exocoelomic</w:t>
      </w:r>
      <w:proofErr w:type="spellEnd"/>
      <w:r w:rsidRPr="00C71AD6">
        <w:rPr>
          <w:rStyle w:val="PageNumber"/>
          <w:rFonts w:asciiTheme="majorBidi" w:hAnsiTheme="majorBidi" w:cstheme="majorBidi"/>
          <w:sz w:val="24"/>
          <w:szCs w:val="24"/>
        </w:rPr>
        <w:t xml:space="preserve"> cavity was present. The </w:t>
      </w:r>
      <w:proofErr w:type="spellStart"/>
      <w:r w:rsidRPr="00C71AD6">
        <w:rPr>
          <w:rStyle w:val="PageNumber"/>
          <w:rFonts w:asciiTheme="majorBidi" w:hAnsiTheme="majorBidi" w:cstheme="majorBidi"/>
          <w:sz w:val="24"/>
          <w:szCs w:val="24"/>
        </w:rPr>
        <w:t>decidual</w:t>
      </w:r>
      <w:proofErr w:type="spellEnd"/>
      <w:r w:rsidRPr="00C71AD6">
        <w:rPr>
          <w:rStyle w:val="PageNumber"/>
          <w:rFonts w:asciiTheme="majorBidi" w:hAnsiTheme="majorBidi" w:cstheme="majorBidi"/>
          <w:sz w:val="24"/>
          <w:szCs w:val="24"/>
        </w:rPr>
        <w:t xml:space="preserve"> cells displayed </w:t>
      </w:r>
      <w:proofErr w:type="spellStart"/>
      <w:r w:rsidRPr="00C71AD6">
        <w:rPr>
          <w:rStyle w:val="PageNumber"/>
          <w:rFonts w:asciiTheme="majorBidi" w:hAnsiTheme="majorBidi" w:cstheme="majorBidi"/>
          <w:sz w:val="24"/>
          <w:szCs w:val="24"/>
        </w:rPr>
        <w:t>eosinophilic</w:t>
      </w:r>
      <w:proofErr w:type="spellEnd"/>
      <w:r w:rsidRPr="00C71AD6">
        <w:rPr>
          <w:rStyle w:val="PageNumber"/>
          <w:rFonts w:asciiTheme="majorBidi" w:hAnsiTheme="majorBidi" w:cstheme="majorBidi"/>
          <w:sz w:val="24"/>
          <w:szCs w:val="24"/>
        </w:rPr>
        <w:t xml:space="preserve"> cytoplasm and dense nuclei, some cells showed up to four nuclei in cytoplasm. Maternal blood was not found around the deformed embryo.</w:t>
      </w:r>
    </w:p>
    <w:p w:rsidR="00E212D8" w:rsidRPr="00C71AD6" w:rsidRDefault="008A5B51" w:rsidP="005E3D90">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Other embryos showed densely stained undistinguishable layers and cells. In such case, the embryo had lost its characteristic histological features. Most cells were dead or dying with very dense </w:t>
      </w:r>
      <w:proofErr w:type="spellStart"/>
      <w:r w:rsidRPr="00C71AD6">
        <w:rPr>
          <w:rStyle w:val="PageNumber"/>
          <w:rFonts w:asciiTheme="majorBidi" w:hAnsiTheme="majorBidi" w:cstheme="majorBidi"/>
          <w:sz w:val="24"/>
          <w:szCs w:val="24"/>
        </w:rPr>
        <w:t>pyknotic</w:t>
      </w:r>
      <w:proofErr w:type="spellEnd"/>
      <w:r w:rsidRPr="00C71AD6">
        <w:rPr>
          <w:rStyle w:val="PageNumber"/>
          <w:rFonts w:asciiTheme="majorBidi" w:hAnsiTheme="majorBidi" w:cstheme="majorBidi"/>
          <w:sz w:val="24"/>
          <w:szCs w:val="24"/>
        </w:rPr>
        <w:t xml:space="preserve"> nuclei (Fig. 34). Two cavities were present in this embryo representing the </w:t>
      </w:r>
      <w:proofErr w:type="spellStart"/>
      <w:r w:rsidRPr="00C71AD6">
        <w:rPr>
          <w:rStyle w:val="PageNumber"/>
          <w:rFonts w:asciiTheme="majorBidi" w:hAnsiTheme="majorBidi" w:cstheme="majorBidi"/>
          <w:sz w:val="24"/>
          <w:szCs w:val="24"/>
        </w:rPr>
        <w:t>ectoplacental</w:t>
      </w:r>
      <w:proofErr w:type="spellEnd"/>
      <w:r w:rsidRPr="00C71AD6">
        <w:rPr>
          <w:rStyle w:val="PageNumber"/>
          <w:rFonts w:asciiTheme="majorBidi" w:hAnsiTheme="majorBidi" w:cstheme="majorBidi"/>
          <w:sz w:val="24"/>
          <w:szCs w:val="24"/>
        </w:rPr>
        <w:t xml:space="preserve"> cone and </w:t>
      </w:r>
      <w:proofErr w:type="spellStart"/>
      <w:r w:rsidRPr="00C71AD6">
        <w:rPr>
          <w:rStyle w:val="PageNumber"/>
          <w:rFonts w:asciiTheme="majorBidi" w:hAnsiTheme="majorBidi" w:cstheme="majorBidi"/>
          <w:sz w:val="24"/>
          <w:szCs w:val="24"/>
        </w:rPr>
        <w:t>proamniotic</w:t>
      </w:r>
      <w:proofErr w:type="spellEnd"/>
      <w:r w:rsidRPr="00C71AD6">
        <w:rPr>
          <w:rStyle w:val="PageNumber"/>
          <w:rFonts w:asciiTheme="majorBidi" w:hAnsiTheme="majorBidi" w:cstheme="majorBidi"/>
          <w:sz w:val="24"/>
          <w:szCs w:val="24"/>
        </w:rPr>
        <w:t xml:space="preserve"> cavities. In the </w:t>
      </w:r>
      <w:proofErr w:type="spellStart"/>
      <w:r w:rsidRPr="00C71AD6">
        <w:rPr>
          <w:rStyle w:val="PageNumber"/>
          <w:rFonts w:asciiTheme="majorBidi" w:hAnsiTheme="majorBidi" w:cstheme="majorBidi"/>
          <w:sz w:val="24"/>
          <w:szCs w:val="24"/>
        </w:rPr>
        <w:t>decidua</w:t>
      </w:r>
      <w:proofErr w:type="spellEnd"/>
      <w:r w:rsidRPr="00C71AD6">
        <w:rPr>
          <w:rStyle w:val="PageNumber"/>
          <w:rFonts w:asciiTheme="majorBidi" w:hAnsiTheme="majorBidi" w:cstheme="majorBidi"/>
          <w:sz w:val="24"/>
          <w:szCs w:val="24"/>
        </w:rPr>
        <w:t xml:space="preserve">, many vacuolated cells with dense nuclei were recognized and some large cells probably phagocytes. </w:t>
      </w:r>
      <w:proofErr w:type="spellStart"/>
      <w:r w:rsidRPr="00C71AD6">
        <w:rPr>
          <w:rStyle w:val="PageNumber"/>
          <w:rFonts w:asciiTheme="majorBidi" w:hAnsiTheme="majorBidi" w:cstheme="majorBidi"/>
          <w:sz w:val="24"/>
          <w:szCs w:val="24"/>
        </w:rPr>
        <w:t>Heamorrhagic</w:t>
      </w:r>
      <w:proofErr w:type="spellEnd"/>
      <w:r w:rsidRPr="00C71AD6">
        <w:rPr>
          <w:rStyle w:val="PageNumber"/>
          <w:rFonts w:asciiTheme="majorBidi" w:hAnsiTheme="majorBidi" w:cstheme="majorBidi"/>
          <w:sz w:val="24"/>
          <w:szCs w:val="24"/>
        </w:rPr>
        <w:t xml:space="preserve"> patches were shown around this </w:t>
      </w:r>
      <w:proofErr w:type="gramStart"/>
      <w:r w:rsidRPr="00C71AD6">
        <w:rPr>
          <w:rStyle w:val="PageNumber"/>
          <w:rFonts w:asciiTheme="majorBidi" w:hAnsiTheme="majorBidi" w:cstheme="majorBidi"/>
          <w:sz w:val="24"/>
          <w:szCs w:val="24"/>
        </w:rPr>
        <w:t>embryo,</w:t>
      </w:r>
      <w:proofErr w:type="gramEnd"/>
      <w:r w:rsidRPr="00C71AD6">
        <w:rPr>
          <w:rStyle w:val="PageNumber"/>
          <w:rFonts w:asciiTheme="majorBidi" w:hAnsiTheme="majorBidi" w:cstheme="majorBidi"/>
          <w:sz w:val="24"/>
          <w:szCs w:val="24"/>
        </w:rPr>
        <w:t xml:space="preserve"> probably represent an initial stage of abortion. </w:t>
      </w:r>
    </w:p>
    <w:p w:rsidR="007C0696" w:rsidRPr="00C71AD6" w:rsidRDefault="008A5B51" w:rsidP="005E3D90">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results obtained from embryos of day 6 and 8 of pregnancy showed that TCE has </w:t>
      </w:r>
      <w:proofErr w:type="spellStart"/>
      <w:r w:rsidRPr="00C71AD6">
        <w:rPr>
          <w:rStyle w:val="PageNumber"/>
          <w:rFonts w:asciiTheme="majorBidi" w:hAnsiTheme="majorBidi" w:cstheme="majorBidi"/>
          <w:sz w:val="24"/>
          <w:szCs w:val="24"/>
        </w:rPr>
        <w:t>embryotoxic</w:t>
      </w:r>
      <w:proofErr w:type="spellEnd"/>
      <w:r w:rsidRPr="00C71AD6">
        <w:rPr>
          <w:rStyle w:val="PageNumber"/>
          <w:rFonts w:asciiTheme="majorBidi" w:hAnsiTheme="majorBidi" w:cstheme="majorBidi"/>
          <w:sz w:val="24"/>
          <w:szCs w:val="24"/>
        </w:rPr>
        <w:t xml:space="preserve"> and </w:t>
      </w:r>
      <w:proofErr w:type="spellStart"/>
      <w:r w:rsidRPr="00C71AD6">
        <w:rPr>
          <w:rStyle w:val="PageNumber"/>
          <w:rFonts w:asciiTheme="majorBidi" w:hAnsiTheme="majorBidi" w:cstheme="majorBidi"/>
          <w:sz w:val="24"/>
          <w:szCs w:val="24"/>
        </w:rPr>
        <w:t>teratogenic</w:t>
      </w:r>
      <w:proofErr w:type="spellEnd"/>
      <w:r w:rsidRPr="00C71AD6">
        <w:rPr>
          <w:rStyle w:val="PageNumber"/>
          <w:rFonts w:asciiTheme="majorBidi" w:hAnsiTheme="majorBidi" w:cstheme="majorBidi"/>
          <w:sz w:val="24"/>
          <w:szCs w:val="24"/>
        </w:rPr>
        <w:t xml:space="preserve"> effects on </w:t>
      </w:r>
      <w:proofErr w:type="spellStart"/>
      <w:r w:rsidRPr="00C71AD6">
        <w:rPr>
          <w:rStyle w:val="PageNumber"/>
          <w:rFonts w:asciiTheme="majorBidi" w:hAnsiTheme="majorBidi" w:cstheme="majorBidi"/>
          <w:sz w:val="24"/>
          <w:szCs w:val="24"/>
        </w:rPr>
        <w:t>postimplantation</w:t>
      </w:r>
      <w:proofErr w:type="spellEnd"/>
      <w:r w:rsidRPr="00C71AD6">
        <w:rPr>
          <w:rStyle w:val="PageNumber"/>
          <w:rFonts w:asciiTheme="majorBidi" w:hAnsiTheme="majorBidi" w:cstheme="majorBidi"/>
          <w:sz w:val="24"/>
          <w:szCs w:val="24"/>
        </w:rPr>
        <w:t xml:space="preserve"> embryos and the degree of these effects dependent upon the level and duration of the dose. Whereas, the sever effects appeared in G2 more than that of G1 in contrast with the control group.</w:t>
      </w:r>
    </w:p>
    <w:p w:rsidR="007C0696" w:rsidRPr="00C71AD6" w:rsidRDefault="007C0696" w:rsidP="005E3D90">
      <w:pPr>
        <w:bidi w:val="0"/>
        <w:spacing w:after="0" w:line="360" w:lineRule="auto"/>
        <w:ind w:left="-74" w:firstLine="64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Discussion:</w:t>
      </w:r>
    </w:p>
    <w:p w:rsidR="00C71AD6" w:rsidRPr="00C71AD6" w:rsidRDefault="00C71AD6" w:rsidP="005E3D90">
      <w:pPr>
        <w:bidi w:val="0"/>
        <w:spacing w:after="0" w:line="360" w:lineRule="auto"/>
        <w:ind w:firstLine="851"/>
        <w:jc w:val="lowKashida"/>
        <w:rPr>
          <w:rFonts w:asciiTheme="majorBidi" w:hAnsiTheme="majorBidi" w:cstheme="majorBidi"/>
          <w:sz w:val="24"/>
          <w:szCs w:val="24"/>
        </w:rPr>
      </w:pPr>
      <w:r w:rsidRPr="00C71AD6">
        <w:rPr>
          <w:rFonts w:asciiTheme="majorBidi" w:hAnsiTheme="majorBidi" w:cstheme="majorBidi"/>
          <w:b/>
          <w:bCs/>
          <w:sz w:val="24"/>
          <w:szCs w:val="24"/>
        </w:rPr>
        <w:t>TCE</w:t>
      </w:r>
      <w:r w:rsidRPr="00C71AD6">
        <w:rPr>
          <w:rFonts w:asciiTheme="majorBidi" w:hAnsiTheme="majorBidi" w:cstheme="majorBidi"/>
          <w:sz w:val="24"/>
          <w:szCs w:val="24"/>
        </w:rPr>
        <w:t xml:space="preserve"> vapors have been shown to cross the human placenta during childbirth </w:t>
      </w:r>
      <w:r w:rsidRPr="00C71AD6">
        <w:rPr>
          <w:rFonts w:asciiTheme="majorBidi" w:hAnsiTheme="majorBidi" w:cstheme="majorBidi"/>
          <w:b/>
          <w:bCs/>
          <w:sz w:val="24"/>
          <w:szCs w:val="24"/>
        </w:rPr>
        <w:t>(</w:t>
      </w:r>
      <w:proofErr w:type="spellStart"/>
      <w:r w:rsidRPr="00C71AD6">
        <w:rPr>
          <w:rFonts w:asciiTheme="majorBidi" w:hAnsiTheme="majorBidi" w:cstheme="majorBidi"/>
          <w:b/>
          <w:bCs/>
          <w:sz w:val="24"/>
          <w:szCs w:val="24"/>
        </w:rPr>
        <w:t>Laham</w:t>
      </w:r>
      <w:proofErr w:type="spellEnd"/>
      <w:r w:rsidRPr="00C71AD6">
        <w:rPr>
          <w:rFonts w:asciiTheme="majorBidi" w:hAnsiTheme="majorBidi" w:cstheme="majorBidi"/>
          <w:b/>
          <w:bCs/>
          <w:sz w:val="24"/>
          <w:szCs w:val="24"/>
        </w:rPr>
        <w:t>, 1970),</w:t>
      </w:r>
      <w:r w:rsidRPr="00C71AD6">
        <w:rPr>
          <w:rFonts w:asciiTheme="majorBidi" w:hAnsiTheme="majorBidi" w:cstheme="majorBidi"/>
          <w:sz w:val="24"/>
          <w:szCs w:val="24"/>
        </w:rPr>
        <w:t xml:space="preserve"> with experiments in rats confirming this finding </w:t>
      </w:r>
      <w:r w:rsidRPr="00C71AD6">
        <w:rPr>
          <w:rFonts w:asciiTheme="majorBidi" w:hAnsiTheme="majorBidi" w:cstheme="majorBidi"/>
          <w:b/>
          <w:bCs/>
          <w:sz w:val="24"/>
          <w:szCs w:val="24"/>
        </w:rPr>
        <w:t>(</w:t>
      </w:r>
      <w:proofErr w:type="spellStart"/>
      <w:r w:rsidRPr="00C71AD6">
        <w:rPr>
          <w:rFonts w:asciiTheme="majorBidi" w:hAnsiTheme="majorBidi" w:cstheme="majorBidi"/>
          <w:b/>
          <w:bCs/>
          <w:sz w:val="24"/>
          <w:szCs w:val="24"/>
        </w:rPr>
        <w:t>Withey</w:t>
      </w:r>
      <w:proofErr w:type="spellEnd"/>
      <w:r w:rsidRPr="00C71AD6">
        <w:rPr>
          <w:rFonts w:asciiTheme="majorBidi" w:hAnsiTheme="majorBidi" w:cstheme="majorBidi"/>
          <w:b/>
          <w:bCs/>
          <w:sz w:val="24"/>
          <w:szCs w:val="24"/>
        </w:rPr>
        <w:t xml:space="preserve"> &amp; </w:t>
      </w:r>
      <w:proofErr w:type="spellStart"/>
      <w:r w:rsidRPr="00C71AD6">
        <w:rPr>
          <w:rFonts w:asciiTheme="majorBidi" w:hAnsiTheme="majorBidi" w:cstheme="majorBidi"/>
          <w:b/>
          <w:bCs/>
          <w:sz w:val="24"/>
          <w:szCs w:val="24"/>
        </w:rPr>
        <w:t>Karpinski</w:t>
      </w:r>
      <w:proofErr w:type="spellEnd"/>
      <w:r w:rsidRPr="00C71AD6">
        <w:rPr>
          <w:rFonts w:asciiTheme="majorBidi" w:hAnsiTheme="majorBidi" w:cstheme="majorBidi"/>
          <w:b/>
          <w:bCs/>
          <w:sz w:val="24"/>
          <w:szCs w:val="24"/>
        </w:rPr>
        <w:t>, 1985)</w:t>
      </w:r>
      <w:r w:rsidRPr="00C71AD6">
        <w:rPr>
          <w:rFonts w:asciiTheme="majorBidi" w:hAnsiTheme="majorBidi" w:cstheme="majorBidi"/>
          <w:sz w:val="24"/>
          <w:szCs w:val="24"/>
        </w:rPr>
        <w:t xml:space="preserve">. In particular, </w:t>
      </w:r>
      <w:proofErr w:type="spellStart"/>
      <w:r w:rsidRPr="00C71AD6">
        <w:rPr>
          <w:rFonts w:asciiTheme="majorBidi" w:hAnsiTheme="majorBidi" w:cstheme="majorBidi"/>
          <w:b/>
          <w:bCs/>
          <w:sz w:val="24"/>
          <w:szCs w:val="24"/>
        </w:rPr>
        <w:t>Laham</w:t>
      </w:r>
      <w:proofErr w:type="spellEnd"/>
      <w:r w:rsidRPr="00C71AD6">
        <w:rPr>
          <w:rFonts w:asciiTheme="majorBidi" w:hAnsiTheme="majorBidi" w:cstheme="majorBidi"/>
          <w:b/>
          <w:bCs/>
          <w:sz w:val="24"/>
          <w:szCs w:val="24"/>
        </w:rPr>
        <w:t xml:space="preserve"> (1970)</w:t>
      </w:r>
      <w:r w:rsidRPr="00C71AD6">
        <w:rPr>
          <w:rFonts w:asciiTheme="majorBidi" w:hAnsiTheme="majorBidi" w:cstheme="majorBidi"/>
          <w:sz w:val="24"/>
          <w:szCs w:val="24"/>
        </w:rPr>
        <w:t xml:space="preserve"> reported determinations of </w:t>
      </w:r>
      <w:r w:rsidRPr="00C71AD6">
        <w:rPr>
          <w:rFonts w:asciiTheme="majorBidi" w:hAnsiTheme="majorBidi" w:cstheme="majorBidi"/>
          <w:b/>
          <w:bCs/>
          <w:sz w:val="24"/>
          <w:szCs w:val="24"/>
        </w:rPr>
        <w:t>TCE</w:t>
      </w:r>
      <w:r w:rsidRPr="00C71AD6">
        <w:rPr>
          <w:rFonts w:asciiTheme="majorBidi" w:hAnsiTheme="majorBidi" w:cstheme="majorBidi"/>
          <w:sz w:val="24"/>
          <w:szCs w:val="24"/>
        </w:rPr>
        <w:t xml:space="preserve"> concentrations in maternal and fetal blood following administration of </w:t>
      </w:r>
      <w:r w:rsidRPr="00C71AD6">
        <w:rPr>
          <w:rFonts w:asciiTheme="majorBidi" w:hAnsiTheme="majorBidi" w:cstheme="majorBidi"/>
          <w:b/>
          <w:bCs/>
          <w:sz w:val="24"/>
          <w:szCs w:val="24"/>
        </w:rPr>
        <w:t>TCE</w:t>
      </w:r>
      <w:r w:rsidRPr="00C71AD6">
        <w:rPr>
          <w:rFonts w:asciiTheme="majorBidi" w:hAnsiTheme="majorBidi" w:cstheme="majorBidi"/>
          <w:sz w:val="24"/>
          <w:szCs w:val="24"/>
        </w:rPr>
        <w:t xml:space="preserve"> vapors intermittently and at birth.</w:t>
      </w:r>
    </w:p>
    <w:p w:rsidR="00C71AD6" w:rsidRPr="00C71AD6" w:rsidRDefault="00C71AD6" w:rsidP="005E3D90">
      <w:pPr>
        <w:pStyle w:val="Default"/>
        <w:spacing w:line="360" w:lineRule="auto"/>
        <w:ind w:firstLine="851"/>
        <w:jc w:val="both"/>
        <w:rPr>
          <w:rFonts w:asciiTheme="majorBidi" w:hAnsiTheme="majorBidi" w:cstheme="majorBidi"/>
          <w:color w:val="auto"/>
        </w:rPr>
      </w:pPr>
      <w:proofErr w:type="spellStart"/>
      <w:r w:rsidRPr="00C71AD6">
        <w:rPr>
          <w:rFonts w:asciiTheme="majorBidi" w:hAnsiTheme="majorBidi" w:cstheme="majorBidi"/>
          <w:b/>
          <w:bCs/>
          <w:color w:val="auto"/>
        </w:rPr>
        <w:t>Withey</w:t>
      </w:r>
      <w:proofErr w:type="spellEnd"/>
      <w:r w:rsidRPr="00C71AD6">
        <w:rPr>
          <w:rFonts w:asciiTheme="majorBidi" w:hAnsiTheme="majorBidi" w:cstheme="majorBidi"/>
          <w:b/>
          <w:bCs/>
          <w:color w:val="auto"/>
        </w:rPr>
        <w:t xml:space="preserve"> &amp; </w:t>
      </w:r>
      <w:proofErr w:type="spellStart"/>
      <w:r w:rsidRPr="00C71AD6">
        <w:rPr>
          <w:rFonts w:asciiTheme="majorBidi" w:hAnsiTheme="majorBidi" w:cstheme="majorBidi"/>
          <w:b/>
          <w:bCs/>
          <w:color w:val="auto"/>
        </w:rPr>
        <w:t>Karpinski</w:t>
      </w:r>
      <w:proofErr w:type="spellEnd"/>
      <w:r w:rsidRPr="00C71AD6">
        <w:rPr>
          <w:rFonts w:asciiTheme="majorBidi" w:hAnsiTheme="majorBidi" w:cstheme="majorBidi"/>
          <w:b/>
          <w:bCs/>
          <w:color w:val="auto"/>
        </w:rPr>
        <w:t xml:space="preserve"> (1985)</w:t>
      </w:r>
      <w:r w:rsidRPr="00C71AD6">
        <w:rPr>
          <w:rFonts w:asciiTheme="majorBidi" w:hAnsiTheme="majorBidi" w:cstheme="majorBidi"/>
          <w:color w:val="auto"/>
        </w:rPr>
        <w:t xml:space="preserve"> exposed pregnant rats to </w:t>
      </w:r>
      <w:r w:rsidRPr="00C71AD6">
        <w:rPr>
          <w:rFonts w:asciiTheme="majorBidi" w:hAnsiTheme="majorBidi" w:cstheme="majorBidi"/>
          <w:b/>
          <w:bCs/>
          <w:color w:val="auto"/>
        </w:rPr>
        <w:t>TCE</w:t>
      </w:r>
      <w:r w:rsidRPr="00C71AD6">
        <w:rPr>
          <w:rFonts w:asciiTheme="majorBidi" w:hAnsiTheme="majorBidi" w:cstheme="majorBidi"/>
          <w:color w:val="auto"/>
        </w:rPr>
        <w:t xml:space="preserve"> vapors (302, 1,040, 1,559, or 2,088 </w:t>
      </w:r>
      <w:proofErr w:type="spellStart"/>
      <w:r w:rsidRPr="00C71AD6">
        <w:rPr>
          <w:rFonts w:asciiTheme="majorBidi" w:hAnsiTheme="majorBidi" w:cstheme="majorBidi"/>
          <w:color w:val="auto"/>
        </w:rPr>
        <w:t>ppm</w:t>
      </w:r>
      <w:proofErr w:type="spellEnd"/>
      <w:r w:rsidRPr="00C71AD6">
        <w:rPr>
          <w:rFonts w:asciiTheme="majorBidi" w:hAnsiTheme="majorBidi" w:cstheme="majorBidi"/>
          <w:color w:val="auto"/>
        </w:rPr>
        <w:t xml:space="preserve"> for </w:t>
      </w:r>
      <w:r w:rsidRPr="00C71AD6">
        <w:rPr>
          <w:rFonts w:asciiTheme="majorBidi" w:hAnsiTheme="majorBidi" w:cstheme="majorBidi"/>
          <w:b/>
          <w:bCs/>
          <w:color w:val="auto"/>
        </w:rPr>
        <w:t>5</w:t>
      </w:r>
      <w:r w:rsidRPr="00C71AD6">
        <w:rPr>
          <w:rFonts w:asciiTheme="majorBidi" w:hAnsiTheme="majorBidi" w:cstheme="majorBidi"/>
          <w:color w:val="auto"/>
        </w:rPr>
        <w:t xml:space="preserve"> hours) on </w:t>
      </w:r>
      <w:r w:rsidRPr="00C71AD6">
        <w:rPr>
          <w:rFonts w:asciiTheme="majorBidi" w:hAnsiTheme="majorBidi" w:cstheme="majorBidi"/>
          <w:b/>
          <w:bCs/>
          <w:color w:val="auto"/>
        </w:rPr>
        <w:t>17</w:t>
      </w:r>
      <w:r w:rsidRPr="00C71AD6">
        <w:rPr>
          <w:rFonts w:asciiTheme="majorBidi" w:hAnsiTheme="majorBidi" w:cstheme="majorBidi"/>
          <w:b/>
          <w:bCs/>
          <w:color w:val="auto"/>
          <w:vertAlign w:val="superscript"/>
        </w:rPr>
        <w:t>th</w:t>
      </w:r>
      <w:r w:rsidRPr="00C71AD6">
        <w:rPr>
          <w:rFonts w:asciiTheme="majorBidi" w:hAnsiTheme="majorBidi" w:cstheme="majorBidi"/>
          <w:color w:val="auto"/>
        </w:rPr>
        <w:t xml:space="preserve"> day of gestation and concentrations of </w:t>
      </w:r>
      <w:r w:rsidRPr="00C71AD6">
        <w:rPr>
          <w:rFonts w:asciiTheme="majorBidi" w:hAnsiTheme="majorBidi" w:cstheme="majorBidi"/>
          <w:b/>
          <w:bCs/>
          <w:color w:val="auto"/>
        </w:rPr>
        <w:t>TCE</w:t>
      </w:r>
      <w:r w:rsidRPr="00C71AD6">
        <w:rPr>
          <w:rFonts w:asciiTheme="majorBidi" w:hAnsiTheme="majorBidi" w:cstheme="majorBidi"/>
          <w:color w:val="auto"/>
        </w:rPr>
        <w:t xml:space="preserve"> in maternal and fetal blood were determined. At all concentrations, </w:t>
      </w:r>
      <w:r w:rsidRPr="00C71AD6">
        <w:rPr>
          <w:rFonts w:asciiTheme="majorBidi" w:hAnsiTheme="majorBidi" w:cstheme="majorBidi"/>
          <w:b/>
          <w:bCs/>
          <w:color w:val="auto"/>
        </w:rPr>
        <w:t>TCE</w:t>
      </w:r>
      <w:r w:rsidRPr="00C71AD6">
        <w:rPr>
          <w:rFonts w:asciiTheme="majorBidi" w:hAnsiTheme="majorBidi" w:cstheme="majorBidi"/>
          <w:color w:val="auto"/>
        </w:rPr>
        <w:t xml:space="preserve"> concentration in fetal blood was approximately one-third of the concentration in corresponding maternal blood.</w:t>
      </w:r>
    </w:p>
    <w:p w:rsidR="00C71AD6" w:rsidRPr="00C71AD6" w:rsidRDefault="00C71AD6" w:rsidP="005E3D90">
      <w:pPr>
        <w:tabs>
          <w:tab w:val="left" w:pos="2070"/>
        </w:tabs>
        <w:bidi w:val="0"/>
        <w:spacing w:after="0" w:line="360" w:lineRule="auto"/>
        <w:ind w:firstLine="720"/>
        <w:jc w:val="lowKashida"/>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In the present study, the body weight was recorded at the end </w:t>
      </w:r>
      <w:proofErr w:type="gramStart"/>
      <w:r w:rsidRPr="00C71AD6">
        <w:rPr>
          <w:rStyle w:val="PageNumber"/>
          <w:rFonts w:asciiTheme="majorBidi" w:hAnsiTheme="majorBidi" w:cstheme="majorBidi"/>
          <w:sz w:val="24"/>
          <w:szCs w:val="24"/>
        </w:rPr>
        <w:t xml:space="preserve">of  </w:t>
      </w:r>
      <w:r w:rsidRPr="00C71AD6">
        <w:rPr>
          <w:rStyle w:val="PageNumber"/>
          <w:rFonts w:asciiTheme="majorBidi" w:hAnsiTheme="majorBidi" w:cstheme="majorBidi"/>
          <w:b/>
          <w:bCs/>
          <w:sz w:val="24"/>
          <w:szCs w:val="24"/>
        </w:rPr>
        <w:t>1</w:t>
      </w:r>
      <w:r w:rsidRPr="00C71AD6">
        <w:rPr>
          <w:rStyle w:val="PageNumber"/>
          <w:rFonts w:asciiTheme="majorBidi" w:hAnsiTheme="majorBidi" w:cstheme="majorBidi"/>
          <w:b/>
          <w:bCs/>
          <w:sz w:val="24"/>
          <w:szCs w:val="24"/>
          <w:vertAlign w:val="superscript"/>
        </w:rPr>
        <w:t>st</w:t>
      </w:r>
      <w:proofErr w:type="gramEnd"/>
      <w:r w:rsidRPr="00C71AD6">
        <w:rPr>
          <w:rStyle w:val="PageNumber"/>
          <w:rFonts w:asciiTheme="majorBidi" w:hAnsiTheme="majorBidi" w:cstheme="majorBidi"/>
          <w:b/>
          <w:bCs/>
          <w:sz w:val="24"/>
          <w:szCs w:val="24"/>
        </w:rPr>
        <w:t>, 2</w:t>
      </w:r>
      <w:r w:rsidRPr="00C71AD6">
        <w:rPr>
          <w:rStyle w:val="PageNumber"/>
          <w:rFonts w:asciiTheme="majorBidi" w:hAnsiTheme="majorBidi" w:cstheme="majorBidi"/>
          <w:b/>
          <w:bCs/>
          <w:sz w:val="24"/>
          <w:szCs w:val="24"/>
          <w:vertAlign w:val="superscript"/>
        </w:rPr>
        <w:t>nd</w:t>
      </w:r>
      <w:r w:rsidRPr="00C71AD6">
        <w:rPr>
          <w:rStyle w:val="PageNumber"/>
          <w:rFonts w:asciiTheme="majorBidi" w:hAnsiTheme="majorBidi" w:cstheme="majorBidi"/>
          <w:sz w:val="24"/>
          <w:szCs w:val="24"/>
        </w:rPr>
        <w:t xml:space="preserve"> and </w:t>
      </w:r>
      <w:r w:rsidRPr="00C71AD6">
        <w:rPr>
          <w:rStyle w:val="PageNumber"/>
          <w:rFonts w:asciiTheme="majorBidi" w:hAnsiTheme="majorBidi" w:cstheme="majorBidi"/>
          <w:b/>
          <w:bCs/>
          <w:sz w:val="24"/>
          <w:szCs w:val="24"/>
        </w:rPr>
        <w:t>3</w:t>
      </w:r>
      <w:r w:rsidRPr="00C71AD6">
        <w:rPr>
          <w:rStyle w:val="PageNumber"/>
          <w:rFonts w:asciiTheme="majorBidi" w:hAnsiTheme="majorBidi" w:cstheme="majorBidi"/>
          <w:b/>
          <w:bCs/>
          <w:sz w:val="24"/>
          <w:szCs w:val="24"/>
          <w:vertAlign w:val="superscript"/>
        </w:rPr>
        <w:t>rd</w:t>
      </w:r>
      <w:r w:rsidRPr="00C71AD6">
        <w:rPr>
          <w:rStyle w:val="PageNumber"/>
          <w:rFonts w:asciiTheme="majorBidi" w:hAnsiTheme="majorBidi" w:cstheme="majorBidi"/>
          <w:sz w:val="24"/>
          <w:szCs w:val="24"/>
        </w:rPr>
        <w:t xml:space="preserve"> week for treated females </w:t>
      </w:r>
      <w:proofErr w:type="spellStart"/>
      <w:r w:rsidRPr="00C71AD6">
        <w:rPr>
          <w:rStyle w:val="PageNumber"/>
          <w:rFonts w:asciiTheme="majorBidi" w:hAnsiTheme="majorBidi" w:cstheme="majorBidi"/>
          <w:sz w:val="24"/>
          <w:szCs w:val="24"/>
        </w:rPr>
        <w:t>bofore</w:t>
      </w:r>
      <w:proofErr w:type="spellEnd"/>
      <w:r w:rsidRPr="00C71AD6">
        <w:rPr>
          <w:rStyle w:val="PageNumber"/>
          <w:rFonts w:asciiTheme="majorBidi" w:hAnsiTheme="majorBidi" w:cstheme="majorBidi"/>
          <w:sz w:val="24"/>
          <w:szCs w:val="24"/>
        </w:rPr>
        <w:t xml:space="preserve"> mating (non-pregnant females) and after mating, the body weight of pregnant females of each group was recorded every </w:t>
      </w:r>
      <w:r w:rsidRPr="00C71AD6">
        <w:rPr>
          <w:rStyle w:val="PageNumber"/>
          <w:rFonts w:asciiTheme="majorBidi" w:hAnsiTheme="majorBidi" w:cstheme="majorBidi"/>
          <w:b/>
          <w:bCs/>
          <w:sz w:val="24"/>
          <w:szCs w:val="24"/>
        </w:rPr>
        <w:t>6</w:t>
      </w:r>
      <w:r w:rsidRPr="00C71AD6">
        <w:rPr>
          <w:rStyle w:val="PageNumber"/>
          <w:rFonts w:asciiTheme="majorBidi" w:hAnsiTheme="majorBidi" w:cstheme="majorBidi"/>
          <w:sz w:val="24"/>
          <w:szCs w:val="24"/>
        </w:rPr>
        <w:t xml:space="preserve"> days of gestation until day </w:t>
      </w:r>
      <w:r w:rsidRPr="00C71AD6">
        <w:rPr>
          <w:rStyle w:val="PageNumber"/>
          <w:rFonts w:asciiTheme="majorBidi" w:hAnsiTheme="majorBidi" w:cstheme="majorBidi"/>
          <w:b/>
          <w:bCs/>
          <w:sz w:val="24"/>
          <w:szCs w:val="24"/>
        </w:rPr>
        <w:t>18</w:t>
      </w:r>
      <w:r w:rsidRPr="00C71AD6">
        <w:rPr>
          <w:rStyle w:val="PageNumber"/>
          <w:rFonts w:asciiTheme="majorBidi" w:hAnsiTheme="majorBidi" w:cstheme="majorBidi"/>
          <w:sz w:val="24"/>
          <w:szCs w:val="24"/>
        </w:rPr>
        <w:t xml:space="preserve"> of pregnancy. As well as females of the control group in two cases. Most of the treated females showed significantly low increase in the body weight. Where, </w:t>
      </w:r>
      <w:r w:rsidRPr="00C71AD6">
        <w:rPr>
          <w:rFonts w:asciiTheme="majorBidi" w:hAnsiTheme="majorBidi" w:cstheme="majorBidi"/>
          <w:sz w:val="24"/>
          <w:szCs w:val="24"/>
        </w:rPr>
        <w:t xml:space="preserve">the non-pregnant females of </w:t>
      </w:r>
      <w:r w:rsidRPr="00C71AD6">
        <w:rPr>
          <w:rFonts w:asciiTheme="majorBidi" w:hAnsiTheme="majorBidi" w:cstheme="majorBidi"/>
          <w:b/>
          <w:bCs/>
          <w:sz w:val="24"/>
          <w:szCs w:val="24"/>
        </w:rPr>
        <w:t xml:space="preserve">G1 </w:t>
      </w:r>
      <w:r w:rsidRPr="00C71AD6">
        <w:rPr>
          <w:rFonts w:asciiTheme="majorBidi" w:hAnsiTheme="majorBidi" w:cstheme="majorBidi"/>
          <w:sz w:val="24"/>
          <w:szCs w:val="24"/>
        </w:rPr>
        <w:t>showed loss appetite and accordingly a decrease in body weight than the control.</w:t>
      </w:r>
      <w:r w:rsidRPr="00C71AD6">
        <w:rPr>
          <w:rStyle w:val="PageNumber"/>
          <w:rFonts w:asciiTheme="majorBidi" w:hAnsiTheme="majorBidi" w:cstheme="majorBidi"/>
          <w:sz w:val="24"/>
          <w:szCs w:val="24"/>
        </w:rPr>
        <w:t xml:space="preserve"> </w:t>
      </w:r>
      <w:r w:rsidRPr="00C71AD6">
        <w:rPr>
          <w:rFonts w:asciiTheme="majorBidi" w:hAnsiTheme="majorBidi" w:cstheme="majorBidi"/>
          <w:sz w:val="24"/>
          <w:szCs w:val="24"/>
        </w:rPr>
        <w:t xml:space="preserve">The females </w:t>
      </w:r>
      <w:r w:rsidRPr="00C71AD6">
        <w:rPr>
          <w:rFonts w:asciiTheme="majorBidi" w:hAnsiTheme="majorBidi" w:cstheme="majorBidi"/>
          <w:sz w:val="24"/>
          <w:szCs w:val="24"/>
        </w:rPr>
        <w:lastRenderedPageBreak/>
        <w:t>of</w:t>
      </w:r>
      <w:r w:rsidRPr="00C71AD6">
        <w:rPr>
          <w:rFonts w:asciiTheme="majorBidi" w:hAnsiTheme="majorBidi" w:cstheme="majorBidi"/>
          <w:b/>
          <w:bCs/>
          <w:sz w:val="24"/>
          <w:szCs w:val="24"/>
        </w:rPr>
        <w:t xml:space="preserve"> G</w:t>
      </w:r>
      <w:r w:rsidRPr="00C71AD6">
        <w:rPr>
          <w:rFonts w:asciiTheme="majorBidi" w:hAnsiTheme="majorBidi" w:cstheme="majorBidi"/>
          <w:sz w:val="24"/>
          <w:szCs w:val="24"/>
        </w:rPr>
        <w:t xml:space="preserve">2 showed loss of both appetite and activity. The decrease in body weight is proportional with the duration and level of dose. </w:t>
      </w:r>
      <w:r w:rsidRPr="00C71AD6">
        <w:rPr>
          <w:rStyle w:val="PageNumber"/>
          <w:rFonts w:asciiTheme="majorBidi" w:hAnsiTheme="majorBidi" w:cstheme="majorBidi"/>
          <w:sz w:val="24"/>
          <w:szCs w:val="24"/>
        </w:rPr>
        <w:t xml:space="preserve">Most of the treated pregnant females showed little increase in body weight gain throughout the three periods. </w:t>
      </w:r>
      <w:proofErr w:type="gramStart"/>
      <w:r w:rsidRPr="00C71AD6">
        <w:rPr>
          <w:rStyle w:val="PageNumber"/>
          <w:rFonts w:asciiTheme="majorBidi" w:hAnsiTheme="majorBidi" w:cstheme="majorBidi"/>
          <w:sz w:val="24"/>
          <w:szCs w:val="24"/>
        </w:rPr>
        <w:t>the</w:t>
      </w:r>
      <w:proofErr w:type="gramEnd"/>
      <w:r w:rsidRPr="00C71AD6">
        <w:rPr>
          <w:rStyle w:val="PageNumber"/>
          <w:rFonts w:asciiTheme="majorBidi" w:hAnsiTheme="majorBidi" w:cstheme="majorBidi"/>
          <w:sz w:val="24"/>
          <w:szCs w:val="24"/>
        </w:rPr>
        <w:t xml:space="preserve"> body weight gain of </w:t>
      </w:r>
      <w:r w:rsidRPr="00C71AD6">
        <w:rPr>
          <w:rStyle w:val="PageNumber"/>
          <w:rFonts w:asciiTheme="majorBidi" w:hAnsiTheme="majorBidi" w:cstheme="majorBidi"/>
          <w:b/>
          <w:bCs/>
          <w:sz w:val="24"/>
          <w:szCs w:val="24"/>
        </w:rPr>
        <w:t>TCE</w:t>
      </w:r>
      <w:r w:rsidRPr="00C71AD6">
        <w:rPr>
          <w:rStyle w:val="PageNumber"/>
          <w:rFonts w:asciiTheme="majorBidi" w:hAnsiTheme="majorBidi" w:cstheme="majorBidi"/>
          <w:sz w:val="24"/>
          <w:szCs w:val="24"/>
        </w:rPr>
        <w:t xml:space="preserve"> treated pregnant females of group two </w:t>
      </w:r>
      <w:r w:rsidRPr="00C71AD6">
        <w:rPr>
          <w:rStyle w:val="PageNumber"/>
          <w:rFonts w:asciiTheme="majorBidi" w:hAnsiTheme="majorBidi" w:cstheme="majorBidi"/>
          <w:b/>
          <w:bCs/>
          <w:sz w:val="24"/>
          <w:szCs w:val="24"/>
        </w:rPr>
        <w:t>(G2)</w:t>
      </w:r>
      <w:r w:rsidRPr="00C71AD6">
        <w:rPr>
          <w:rStyle w:val="PageNumber"/>
          <w:rFonts w:asciiTheme="majorBidi" w:hAnsiTheme="majorBidi" w:cstheme="majorBidi"/>
          <w:sz w:val="24"/>
          <w:szCs w:val="24"/>
        </w:rPr>
        <w:t xml:space="preserve"> at the end of day 18 of gestation was significantly decreased compared with body weight gain of group one </w:t>
      </w:r>
      <w:r w:rsidRPr="00C71AD6">
        <w:rPr>
          <w:rStyle w:val="PageNumber"/>
          <w:rFonts w:asciiTheme="majorBidi" w:hAnsiTheme="majorBidi" w:cstheme="majorBidi"/>
          <w:b/>
          <w:bCs/>
          <w:sz w:val="24"/>
          <w:szCs w:val="24"/>
        </w:rPr>
        <w:t>(G1)</w:t>
      </w:r>
      <w:r w:rsidRPr="00C71AD6">
        <w:rPr>
          <w:rStyle w:val="PageNumber"/>
          <w:rFonts w:asciiTheme="majorBidi" w:hAnsiTheme="majorBidi" w:cstheme="majorBidi"/>
          <w:sz w:val="24"/>
          <w:szCs w:val="24"/>
        </w:rPr>
        <w:t>.</w:t>
      </w:r>
    </w:p>
    <w:p w:rsidR="00C71AD6" w:rsidRPr="00C71AD6" w:rsidRDefault="00C71AD6" w:rsidP="005E3D90">
      <w:pPr>
        <w:autoSpaceDE w:val="0"/>
        <w:autoSpaceDN w:val="0"/>
        <w:bidi w:val="0"/>
        <w:adjustRightInd w:val="0"/>
        <w:spacing w:after="0" w:line="360" w:lineRule="auto"/>
        <w:ind w:firstLine="851"/>
        <w:jc w:val="both"/>
        <w:rPr>
          <w:rStyle w:val="PageNumber"/>
          <w:rFonts w:asciiTheme="majorBidi" w:hAnsiTheme="majorBidi" w:cstheme="majorBidi"/>
          <w:color w:val="000000"/>
          <w:sz w:val="24"/>
          <w:szCs w:val="24"/>
        </w:rPr>
      </w:pPr>
      <w:r w:rsidRPr="00C71AD6">
        <w:rPr>
          <w:rFonts w:asciiTheme="majorBidi" w:hAnsiTheme="majorBidi" w:cstheme="majorBidi"/>
          <w:color w:val="000000"/>
          <w:sz w:val="24"/>
          <w:szCs w:val="24"/>
        </w:rPr>
        <w:t xml:space="preserve">Exposures to </w:t>
      </w:r>
      <w:r w:rsidRPr="00C71AD6">
        <w:rPr>
          <w:rFonts w:asciiTheme="majorBidi" w:hAnsiTheme="majorBidi" w:cstheme="majorBidi"/>
          <w:b/>
          <w:bCs/>
          <w:sz w:val="24"/>
          <w:szCs w:val="24"/>
        </w:rPr>
        <w:t>TCE</w:t>
      </w:r>
      <w:r w:rsidRPr="00C71AD6">
        <w:rPr>
          <w:rFonts w:asciiTheme="majorBidi" w:hAnsiTheme="majorBidi" w:cstheme="majorBidi"/>
          <w:color w:val="000000"/>
          <w:sz w:val="24"/>
          <w:szCs w:val="24"/>
        </w:rPr>
        <w:t xml:space="preserve"> during the prenatal period have been reported to induce neurobehavioral alterations in rat pups, including changes in long-term exploratory and </w:t>
      </w:r>
      <w:proofErr w:type="spellStart"/>
      <w:r w:rsidRPr="00C71AD6">
        <w:rPr>
          <w:rFonts w:asciiTheme="majorBidi" w:hAnsiTheme="majorBidi" w:cstheme="majorBidi"/>
          <w:color w:val="000000"/>
          <w:sz w:val="24"/>
          <w:szCs w:val="24"/>
        </w:rPr>
        <w:t>locomotor</w:t>
      </w:r>
      <w:proofErr w:type="spellEnd"/>
      <w:r w:rsidRPr="00C71AD6">
        <w:rPr>
          <w:rFonts w:asciiTheme="majorBidi" w:hAnsiTheme="majorBidi" w:cstheme="majorBidi"/>
          <w:color w:val="000000"/>
          <w:sz w:val="24"/>
          <w:szCs w:val="24"/>
        </w:rPr>
        <w:t xml:space="preserve"> behavior, altered glucose uptake and metabolism in the neonatal brain, and decreases in myelin </w:t>
      </w:r>
      <w:r w:rsidRPr="00C71AD6">
        <w:rPr>
          <w:rFonts w:asciiTheme="majorBidi" w:hAnsiTheme="majorBidi" w:cstheme="majorBidi"/>
          <w:b/>
          <w:bCs/>
          <w:color w:val="000000"/>
          <w:sz w:val="24"/>
          <w:szCs w:val="24"/>
        </w:rPr>
        <w:t xml:space="preserve">(Taylor </w:t>
      </w:r>
      <w:r w:rsidRPr="00C71AD6">
        <w:rPr>
          <w:rFonts w:asciiTheme="majorBidi" w:hAnsiTheme="majorBidi" w:cstheme="majorBidi"/>
          <w:b/>
          <w:bCs/>
          <w:i/>
          <w:iCs/>
          <w:color w:val="000000"/>
          <w:sz w:val="24"/>
          <w:szCs w:val="24"/>
        </w:rPr>
        <w:t>et al.,</w:t>
      </w:r>
      <w:r w:rsidRPr="00C71AD6">
        <w:rPr>
          <w:rFonts w:asciiTheme="majorBidi" w:hAnsiTheme="majorBidi" w:cstheme="majorBidi"/>
          <w:b/>
          <w:bCs/>
          <w:color w:val="000000"/>
          <w:sz w:val="24"/>
          <w:szCs w:val="24"/>
        </w:rPr>
        <w:t xml:space="preserve"> 1985 and Isaacson </w:t>
      </w:r>
      <w:r w:rsidRPr="00C71AD6">
        <w:rPr>
          <w:rFonts w:asciiTheme="majorBidi" w:hAnsiTheme="majorBidi" w:cstheme="majorBidi"/>
          <w:b/>
          <w:bCs/>
          <w:i/>
          <w:iCs/>
          <w:color w:val="000000"/>
          <w:sz w:val="24"/>
          <w:szCs w:val="24"/>
        </w:rPr>
        <w:t>et al.,</w:t>
      </w:r>
      <w:r w:rsidRPr="00C71AD6">
        <w:rPr>
          <w:rFonts w:asciiTheme="majorBidi" w:hAnsiTheme="majorBidi" w:cstheme="majorBidi"/>
          <w:b/>
          <w:bCs/>
          <w:color w:val="000000"/>
          <w:sz w:val="24"/>
          <w:szCs w:val="24"/>
        </w:rPr>
        <w:t xml:space="preserve"> 1990)</w:t>
      </w:r>
      <w:r w:rsidRPr="00C71AD6">
        <w:rPr>
          <w:rFonts w:asciiTheme="majorBidi" w:hAnsiTheme="majorBidi" w:cstheme="majorBidi"/>
          <w:color w:val="000000"/>
          <w:sz w:val="24"/>
          <w:szCs w:val="24"/>
        </w:rPr>
        <w:t xml:space="preserve">. </w:t>
      </w:r>
      <w:r w:rsidRPr="00C71AD6">
        <w:rPr>
          <w:rStyle w:val="PageNumber"/>
          <w:rFonts w:asciiTheme="majorBidi" w:hAnsiTheme="majorBidi" w:cstheme="majorBidi"/>
          <w:sz w:val="24"/>
          <w:szCs w:val="24"/>
        </w:rPr>
        <w:t xml:space="preserve"> </w:t>
      </w:r>
    </w:p>
    <w:p w:rsidR="00C71AD6" w:rsidRPr="00C71AD6" w:rsidRDefault="00C71AD6" w:rsidP="005E3D90">
      <w:pPr>
        <w:bidi w:val="0"/>
        <w:spacing w:after="0" w:line="360" w:lineRule="auto"/>
        <w:ind w:left="-74" w:firstLine="641"/>
        <w:jc w:val="both"/>
        <w:rPr>
          <w:rStyle w:val="PageNumber"/>
          <w:rFonts w:asciiTheme="majorBidi" w:hAnsiTheme="majorBidi" w:cstheme="majorBidi"/>
          <w:sz w:val="24"/>
          <w:szCs w:val="24"/>
        </w:rPr>
      </w:pPr>
    </w:p>
    <w:p w:rsidR="007C0696" w:rsidRPr="00C71AD6" w:rsidRDefault="007C0696" w:rsidP="005E3D90">
      <w:pPr>
        <w:pStyle w:val="Default"/>
        <w:spacing w:line="360" w:lineRule="auto"/>
        <w:ind w:firstLine="851"/>
        <w:jc w:val="both"/>
        <w:rPr>
          <w:rFonts w:asciiTheme="majorBidi" w:hAnsiTheme="majorBidi" w:cstheme="majorBidi"/>
          <w:color w:val="auto"/>
        </w:rPr>
      </w:pPr>
      <w:proofErr w:type="spellStart"/>
      <w:r w:rsidRPr="00C71AD6">
        <w:rPr>
          <w:rFonts w:asciiTheme="majorBidi" w:hAnsiTheme="majorBidi" w:cstheme="majorBidi"/>
          <w:b/>
          <w:bCs/>
          <w:color w:val="auto"/>
        </w:rPr>
        <w:t>Withey</w:t>
      </w:r>
      <w:proofErr w:type="spellEnd"/>
      <w:r w:rsidRPr="00C71AD6">
        <w:rPr>
          <w:rFonts w:asciiTheme="majorBidi" w:hAnsiTheme="majorBidi" w:cstheme="majorBidi"/>
          <w:b/>
          <w:bCs/>
          <w:color w:val="auto"/>
        </w:rPr>
        <w:t xml:space="preserve"> &amp; </w:t>
      </w:r>
      <w:proofErr w:type="spellStart"/>
      <w:r w:rsidRPr="00C71AD6">
        <w:rPr>
          <w:rFonts w:asciiTheme="majorBidi" w:hAnsiTheme="majorBidi" w:cstheme="majorBidi"/>
          <w:b/>
          <w:bCs/>
          <w:color w:val="auto"/>
        </w:rPr>
        <w:t>Karpinski</w:t>
      </w:r>
      <w:proofErr w:type="spellEnd"/>
      <w:r w:rsidRPr="00C71AD6">
        <w:rPr>
          <w:rFonts w:asciiTheme="majorBidi" w:hAnsiTheme="majorBidi" w:cstheme="majorBidi"/>
          <w:b/>
          <w:bCs/>
          <w:color w:val="auto"/>
        </w:rPr>
        <w:t xml:space="preserve"> (1985)</w:t>
      </w:r>
      <w:r w:rsidRPr="00C71AD6">
        <w:rPr>
          <w:rFonts w:asciiTheme="majorBidi" w:hAnsiTheme="majorBidi" w:cstheme="majorBidi"/>
          <w:color w:val="auto"/>
        </w:rPr>
        <w:t xml:space="preserve"> exposed pregnant rats to </w:t>
      </w:r>
      <w:r w:rsidRPr="00C71AD6">
        <w:rPr>
          <w:rFonts w:asciiTheme="majorBidi" w:hAnsiTheme="majorBidi" w:cstheme="majorBidi"/>
          <w:b/>
          <w:bCs/>
          <w:color w:val="auto"/>
        </w:rPr>
        <w:t>TCE</w:t>
      </w:r>
      <w:r w:rsidRPr="00C71AD6">
        <w:rPr>
          <w:rFonts w:asciiTheme="majorBidi" w:hAnsiTheme="majorBidi" w:cstheme="majorBidi"/>
          <w:color w:val="auto"/>
        </w:rPr>
        <w:t xml:space="preserve"> vapors (302, 1,040, 1,559, or 2,088 </w:t>
      </w:r>
      <w:proofErr w:type="spellStart"/>
      <w:r w:rsidRPr="00C71AD6">
        <w:rPr>
          <w:rFonts w:asciiTheme="majorBidi" w:hAnsiTheme="majorBidi" w:cstheme="majorBidi"/>
          <w:color w:val="auto"/>
        </w:rPr>
        <w:t>ppm</w:t>
      </w:r>
      <w:proofErr w:type="spellEnd"/>
      <w:r w:rsidRPr="00C71AD6">
        <w:rPr>
          <w:rFonts w:asciiTheme="majorBidi" w:hAnsiTheme="majorBidi" w:cstheme="majorBidi"/>
          <w:color w:val="auto"/>
        </w:rPr>
        <w:t xml:space="preserve"> for </w:t>
      </w:r>
      <w:r w:rsidRPr="00C71AD6">
        <w:rPr>
          <w:rFonts w:asciiTheme="majorBidi" w:hAnsiTheme="majorBidi" w:cstheme="majorBidi"/>
          <w:b/>
          <w:bCs/>
          <w:color w:val="auto"/>
        </w:rPr>
        <w:t>5</w:t>
      </w:r>
      <w:r w:rsidRPr="00C71AD6">
        <w:rPr>
          <w:rFonts w:asciiTheme="majorBidi" w:hAnsiTheme="majorBidi" w:cstheme="majorBidi"/>
          <w:color w:val="auto"/>
        </w:rPr>
        <w:t xml:space="preserve"> hours) on </w:t>
      </w:r>
      <w:r w:rsidRPr="00C71AD6">
        <w:rPr>
          <w:rFonts w:asciiTheme="majorBidi" w:hAnsiTheme="majorBidi" w:cstheme="majorBidi"/>
          <w:b/>
          <w:bCs/>
          <w:color w:val="auto"/>
        </w:rPr>
        <w:t>17</w:t>
      </w:r>
      <w:r w:rsidRPr="00C71AD6">
        <w:rPr>
          <w:rFonts w:asciiTheme="majorBidi" w:hAnsiTheme="majorBidi" w:cstheme="majorBidi"/>
          <w:b/>
          <w:bCs/>
          <w:color w:val="auto"/>
          <w:vertAlign w:val="superscript"/>
        </w:rPr>
        <w:t>th</w:t>
      </w:r>
      <w:r w:rsidRPr="00C71AD6">
        <w:rPr>
          <w:rFonts w:asciiTheme="majorBidi" w:hAnsiTheme="majorBidi" w:cstheme="majorBidi"/>
          <w:color w:val="auto"/>
        </w:rPr>
        <w:t xml:space="preserve"> day of gestation and concentrations of </w:t>
      </w:r>
      <w:r w:rsidRPr="00C71AD6">
        <w:rPr>
          <w:rFonts w:asciiTheme="majorBidi" w:hAnsiTheme="majorBidi" w:cstheme="majorBidi"/>
          <w:b/>
          <w:bCs/>
          <w:color w:val="auto"/>
        </w:rPr>
        <w:t>TCE</w:t>
      </w:r>
      <w:r w:rsidRPr="00C71AD6">
        <w:rPr>
          <w:rFonts w:asciiTheme="majorBidi" w:hAnsiTheme="majorBidi" w:cstheme="majorBidi"/>
          <w:color w:val="auto"/>
        </w:rPr>
        <w:t xml:space="preserve"> in maternal and fetal blood were determined. At all concentrations, </w:t>
      </w:r>
      <w:r w:rsidRPr="00C71AD6">
        <w:rPr>
          <w:rFonts w:asciiTheme="majorBidi" w:hAnsiTheme="majorBidi" w:cstheme="majorBidi"/>
          <w:b/>
          <w:bCs/>
          <w:color w:val="auto"/>
        </w:rPr>
        <w:t>TCE</w:t>
      </w:r>
      <w:r w:rsidRPr="00C71AD6">
        <w:rPr>
          <w:rFonts w:asciiTheme="majorBidi" w:hAnsiTheme="majorBidi" w:cstheme="majorBidi"/>
          <w:color w:val="auto"/>
        </w:rPr>
        <w:t xml:space="preserve"> concentration in fetal blood was approximately one-third of the concentration in corresponding maternal blood.</w:t>
      </w:r>
    </w:p>
    <w:p w:rsidR="007C0696" w:rsidRPr="00C71AD6" w:rsidRDefault="007C0696" w:rsidP="005E3D90">
      <w:pPr>
        <w:pStyle w:val="Default"/>
        <w:spacing w:line="360" w:lineRule="auto"/>
        <w:ind w:firstLine="851"/>
        <w:jc w:val="both"/>
        <w:rPr>
          <w:rFonts w:asciiTheme="majorBidi" w:hAnsiTheme="majorBidi" w:cstheme="majorBidi"/>
          <w:color w:val="auto"/>
        </w:rPr>
      </w:pPr>
      <w:r w:rsidRPr="00C71AD6">
        <w:rPr>
          <w:rFonts w:asciiTheme="majorBidi" w:hAnsiTheme="majorBidi" w:cstheme="majorBidi"/>
          <w:color w:val="auto"/>
        </w:rPr>
        <w:t>In the present investigation, embryos at the 6</w:t>
      </w:r>
      <w:r w:rsidRPr="00C71AD6">
        <w:rPr>
          <w:rFonts w:asciiTheme="majorBidi" w:hAnsiTheme="majorBidi" w:cstheme="majorBidi"/>
          <w:color w:val="auto"/>
          <w:vertAlign w:val="superscript"/>
        </w:rPr>
        <w:t>th</w:t>
      </w:r>
      <w:r w:rsidRPr="00C71AD6">
        <w:rPr>
          <w:rFonts w:asciiTheme="majorBidi" w:hAnsiTheme="majorBidi" w:cstheme="majorBidi"/>
          <w:color w:val="auto"/>
        </w:rPr>
        <w:t xml:space="preserve"> day of pregnancy "129 hrs p.c." </w:t>
      </w:r>
      <w:proofErr w:type="spellStart"/>
      <w:r w:rsidRPr="00C71AD6">
        <w:rPr>
          <w:rFonts w:asciiTheme="majorBidi" w:hAnsiTheme="majorBidi" w:cstheme="majorBidi"/>
          <w:color w:val="auto"/>
        </w:rPr>
        <w:t>ectoplacental</w:t>
      </w:r>
      <w:proofErr w:type="spellEnd"/>
      <w:r w:rsidRPr="00C71AD6">
        <w:rPr>
          <w:rFonts w:asciiTheme="majorBidi" w:hAnsiTheme="majorBidi" w:cstheme="majorBidi"/>
          <w:color w:val="auto"/>
        </w:rPr>
        <w:t xml:space="preserve"> cone stage maternally treated with TCE show more or less delay in growth; as distal endoderm is not yet differentiated and degeneration of the uterine epithelial cells.</w:t>
      </w:r>
    </w:p>
    <w:p w:rsidR="007C0696" w:rsidRPr="00C71AD6" w:rsidRDefault="007C0696" w:rsidP="005E3D90">
      <w:pPr>
        <w:pStyle w:val="Default"/>
        <w:spacing w:line="360" w:lineRule="auto"/>
        <w:ind w:firstLine="851"/>
        <w:jc w:val="both"/>
        <w:rPr>
          <w:rFonts w:asciiTheme="majorBidi" w:hAnsiTheme="majorBidi" w:cstheme="majorBidi"/>
          <w:color w:val="auto"/>
        </w:rPr>
      </w:pPr>
      <w:r w:rsidRPr="00C71AD6">
        <w:rPr>
          <w:rFonts w:asciiTheme="majorBidi" w:hAnsiTheme="majorBidi" w:cstheme="majorBidi"/>
          <w:color w:val="auto"/>
        </w:rPr>
        <w:t>At the 8</w:t>
      </w:r>
      <w:r w:rsidRPr="00C71AD6">
        <w:rPr>
          <w:rFonts w:asciiTheme="majorBidi" w:hAnsiTheme="majorBidi" w:cstheme="majorBidi"/>
          <w:color w:val="auto"/>
          <w:vertAlign w:val="superscript"/>
        </w:rPr>
        <w:t>th</w:t>
      </w:r>
      <w:r w:rsidRPr="00C71AD6">
        <w:rPr>
          <w:rFonts w:asciiTheme="majorBidi" w:hAnsiTheme="majorBidi" w:cstheme="majorBidi"/>
          <w:color w:val="auto"/>
        </w:rPr>
        <w:t xml:space="preserve"> day of pregnancy "182 </w:t>
      </w:r>
      <w:proofErr w:type="spellStart"/>
      <w:r w:rsidRPr="00C71AD6">
        <w:rPr>
          <w:rFonts w:asciiTheme="majorBidi" w:hAnsiTheme="majorBidi" w:cstheme="majorBidi"/>
          <w:color w:val="auto"/>
        </w:rPr>
        <w:t>hrs.p.c</w:t>
      </w:r>
      <w:proofErr w:type="spellEnd"/>
      <w:r w:rsidRPr="00C71AD6">
        <w:rPr>
          <w:rFonts w:asciiTheme="majorBidi" w:hAnsiTheme="majorBidi" w:cstheme="majorBidi"/>
          <w:color w:val="auto"/>
        </w:rPr>
        <w:t xml:space="preserve">." embryo prober stage maternally treated with TCE showed a considerable retardation in their growth. </w:t>
      </w:r>
      <w:proofErr w:type="gramStart"/>
      <w:r w:rsidRPr="00C71AD6">
        <w:rPr>
          <w:rFonts w:asciiTheme="majorBidi" w:hAnsiTheme="majorBidi" w:cstheme="majorBidi"/>
          <w:color w:val="auto"/>
        </w:rPr>
        <w:t xml:space="preserve">Whereas, </w:t>
      </w:r>
      <w:proofErr w:type="spellStart"/>
      <w:r w:rsidRPr="00C71AD6">
        <w:rPr>
          <w:rFonts w:asciiTheme="majorBidi" w:hAnsiTheme="majorBidi" w:cstheme="majorBidi"/>
          <w:color w:val="auto"/>
        </w:rPr>
        <w:t>ectoplacental</w:t>
      </w:r>
      <w:proofErr w:type="spellEnd"/>
      <w:r w:rsidRPr="00C71AD6">
        <w:rPr>
          <w:rFonts w:asciiTheme="majorBidi" w:hAnsiTheme="majorBidi" w:cstheme="majorBidi"/>
          <w:color w:val="auto"/>
        </w:rPr>
        <w:t xml:space="preserve"> cone is incomplete.</w:t>
      </w:r>
      <w:proofErr w:type="gramEnd"/>
      <w:r w:rsidRPr="00C71AD6">
        <w:rPr>
          <w:rFonts w:asciiTheme="majorBidi" w:hAnsiTheme="majorBidi" w:cstheme="majorBidi"/>
          <w:color w:val="auto"/>
        </w:rPr>
        <w:t xml:space="preserve"> As well as, the endoderm was not differentiated into distal and proximal endoderm. The degenerated </w:t>
      </w:r>
      <w:proofErr w:type="spellStart"/>
      <w:r w:rsidRPr="00C71AD6">
        <w:rPr>
          <w:rFonts w:asciiTheme="majorBidi" w:hAnsiTheme="majorBidi" w:cstheme="majorBidi"/>
          <w:color w:val="auto"/>
        </w:rPr>
        <w:t>decidua</w:t>
      </w:r>
      <w:proofErr w:type="spellEnd"/>
      <w:r w:rsidRPr="00C71AD6">
        <w:rPr>
          <w:rFonts w:asciiTheme="majorBidi" w:hAnsiTheme="majorBidi" w:cstheme="majorBidi"/>
          <w:color w:val="auto"/>
        </w:rPr>
        <w:t xml:space="preserve"> is represented by vacuolated cytoplasm, </w:t>
      </w:r>
      <w:proofErr w:type="spellStart"/>
      <w:r w:rsidRPr="00C71AD6">
        <w:rPr>
          <w:rFonts w:asciiTheme="majorBidi" w:hAnsiTheme="majorBidi" w:cstheme="majorBidi"/>
          <w:color w:val="auto"/>
        </w:rPr>
        <w:t>pyknotic</w:t>
      </w:r>
      <w:proofErr w:type="spellEnd"/>
      <w:r w:rsidRPr="00C71AD6">
        <w:rPr>
          <w:rFonts w:asciiTheme="majorBidi" w:hAnsiTheme="majorBidi" w:cstheme="majorBidi"/>
          <w:color w:val="auto"/>
        </w:rPr>
        <w:t xml:space="preserve"> nucleus and </w:t>
      </w:r>
      <w:proofErr w:type="spellStart"/>
      <w:r w:rsidRPr="00C71AD6">
        <w:rPr>
          <w:rFonts w:asciiTheme="majorBidi" w:hAnsiTheme="majorBidi" w:cstheme="majorBidi"/>
          <w:color w:val="auto"/>
        </w:rPr>
        <w:t>haemorhage</w:t>
      </w:r>
      <w:proofErr w:type="spellEnd"/>
      <w:r w:rsidRPr="00C71AD6">
        <w:rPr>
          <w:rFonts w:asciiTheme="majorBidi" w:hAnsiTheme="majorBidi" w:cstheme="majorBidi"/>
          <w:color w:val="auto"/>
        </w:rPr>
        <w:t>.</w:t>
      </w:r>
    </w:p>
    <w:p w:rsidR="00C71AD6" w:rsidRPr="00C71AD6" w:rsidRDefault="00C71AD6" w:rsidP="005E3D90">
      <w:pPr>
        <w:autoSpaceDE w:val="0"/>
        <w:autoSpaceDN w:val="0"/>
        <w:bidi w:val="0"/>
        <w:adjustRightInd w:val="0"/>
        <w:spacing w:after="0" w:line="360" w:lineRule="auto"/>
        <w:ind w:firstLine="851"/>
        <w:jc w:val="both"/>
        <w:rPr>
          <w:rFonts w:asciiTheme="majorBidi" w:hAnsiTheme="majorBidi" w:cstheme="majorBidi"/>
          <w:color w:val="000000"/>
          <w:sz w:val="24"/>
          <w:szCs w:val="24"/>
        </w:rPr>
      </w:pPr>
      <w:r w:rsidRPr="00C71AD6">
        <w:rPr>
          <w:rStyle w:val="PageNumber"/>
          <w:rFonts w:asciiTheme="majorBidi" w:hAnsiTheme="majorBidi" w:cstheme="majorBidi"/>
          <w:sz w:val="24"/>
          <w:szCs w:val="24"/>
        </w:rPr>
        <w:t xml:space="preserve">In the present investigation, the percent of survival for control, </w:t>
      </w:r>
      <w:r w:rsidRPr="00C71AD6">
        <w:rPr>
          <w:rStyle w:val="PageNumber"/>
          <w:rFonts w:asciiTheme="majorBidi" w:hAnsiTheme="majorBidi" w:cstheme="majorBidi"/>
          <w:b/>
          <w:bCs/>
          <w:sz w:val="24"/>
          <w:szCs w:val="24"/>
        </w:rPr>
        <w:t>G1</w:t>
      </w:r>
      <w:r w:rsidRPr="00C71AD6">
        <w:rPr>
          <w:rStyle w:val="PageNumber"/>
          <w:rFonts w:asciiTheme="majorBidi" w:hAnsiTheme="majorBidi" w:cstheme="majorBidi"/>
          <w:sz w:val="24"/>
          <w:szCs w:val="24"/>
        </w:rPr>
        <w:t xml:space="preserve"> and </w:t>
      </w:r>
      <w:r w:rsidRPr="00C71AD6">
        <w:rPr>
          <w:rStyle w:val="PageNumber"/>
          <w:rFonts w:asciiTheme="majorBidi" w:hAnsiTheme="majorBidi" w:cstheme="majorBidi"/>
          <w:b/>
          <w:bCs/>
          <w:sz w:val="24"/>
          <w:szCs w:val="24"/>
        </w:rPr>
        <w:t>G2</w:t>
      </w:r>
      <w:r w:rsidRPr="00C71AD6">
        <w:rPr>
          <w:rStyle w:val="PageNumber"/>
          <w:rFonts w:asciiTheme="majorBidi" w:hAnsiTheme="majorBidi" w:cstheme="majorBidi"/>
          <w:sz w:val="24"/>
          <w:szCs w:val="24"/>
        </w:rPr>
        <w:t xml:space="preserve"> group was </w:t>
      </w:r>
      <w:r w:rsidRPr="00C71AD6">
        <w:rPr>
          <w:rStyle w:val="PageNumber"/>
          <w:rFonts w:asciiTheme="majorBidi" w:hAnsiTheme="majorBidi" w:cstheme="majorBidi"/>
          <w:b/>
          <w:bCs/>
          <w:sz w:val="24"/>
          <w:szCs w:val="24"/>
        </w:rPr>
        <w:t>100%, 90%</w:t>
      </w:r>
      <w:r w:rsidRPr="00C71AD6">
        <w:rPr>
          <w:rStyle w:val="PageNumber"/>
          <w:rFonts w:asciiTheme="majorBidi" w:hAnsiTheme="majorBidi" w:cstheme="majorBidi"/>
          <w:sz w:val="24"/>
          <w:szCs w:val="24"/>
        </w:rPr>
        <w:t xml:space="preserve"> and </w:t>
      </w:r>
      <w:r w:rsidRPr="00C71AD6">
        <w:rPr>
          <w:rStyle w:val="PageNumber"/>
          <w:rFonts w:asciiTheme="majorBidi" w:hAnsiTheme="majorBidi" w:cstheme="majorBidi"/>
          <w:b/>
          <w:bCs/>
          <w:sz w:val="24"/>
          <w:szCs w:val="24"/>
        </w:rPr>
        <w:t>76.7%</w:t>
      </w:r>
      <w:r w:rsidRPr="00C71AD6">
        <w:rPr>
          <w:rStyle w:val="PageNumber"/>
          <w:rFonts w:asciiTheme="majorBidi" w:hAnsiTheme="majorBidi" w:cstheme="majorBidi"/>
          <w:sz w:val="24"/>
          <w:szCs w:val="24"/>
        </w:rPr>
        <w:t xml:space="preserve">, respectively at the end of the treatment period before mating. The percent of survival of pregnant females of the control group on day 18 of gestation was </w:t>
      </w:r>
      <w:r w:rsidRPr="00C71AD6">
        <w:rPr>
          <w:rStyle w:val="PageNumber"/>
          <w:rFonts w:asciiTheme="majorBidi" w:hAnsiTheme="majorBidi" w:cstheme="majorBidi"/>
          <w:b/>
          <w:bCs/>
          <w:sz w:val="24"/>
          <w:szCs w:val="24"/>
        </w:rPr>
        <w:t>100%.</w:t>
      </w:r>
      <w:r w:rsidRPr="00C71AD6">
        <w:rPr>
          <w:rStyle w:val="PageNumber"/>
          <w:rFonts w:asciiTheme="majorBidi" w:hAnsiTheme="majorBidi" w:cstheme="majorBidi"/>
          <w:sz w:val="24"/>
          <w:szCs w:val="24"/>
        </w:rPr>
        <w:t xml:space="preserve"> </w:t>
      </w:r>
      <w:proofErr w:type="spellStart"/>
      <w:r w:rsidRPr="00C71AD6">
        <w:rPr>
          <w:rStyle w:val="PageNumber"/>
          <w:rFonts w:asciiTheme="majorBidi" w:hAnsiTheme="majorBidi" w:cstheme="majorBidi"/>
          <w:sz w:val="24"/>
          <w:szCs w:val="24"/>
        </w:rPr>
        <w:t>However</w:t>
      </w:r>
      <w:proofErr w:type="gramStart"/>
      <w:r w:rsidRPr="00C71AD6">
        <w:rPr>
          <w:rStyle w:val="PageNumber"/>
          <w:rFonts w:asciiTheme="majorBidi" w:hAnsiTheme="majorBidi" w:cstheme="majorBidi"/>
          <w:sz w:val="24"/>
          <w:szCs w:val="24"/>
        </w:rPr>
        <w:t>,the</w:t>
      </w:r>
      <w:proofErr w:type="spellEnd"/>
      <w:proofErr w:type="gramEnd"/>
      <w:r w:rsidRPr="00C71AD6">
        <w:rPr>
          <w:rStyle w:val="PageNumber"/>
          <w:rFonts w:asciiTheme="majorBidi" w:hAnsiTheme="majorBidi" w:cstheme="majorBidi"/>
          <w:sz w:val="24"/>
          <w:szCs w:val="24"/>
        </w:rPr>
        <w:t xml:space="preserve"> percent of survival of the treated groups </w:t>
      </w:r>
      <w:r w:rsidRPr="00C71AD6">
        <w:rPr>
          <w:rStyle w:val="PageNumber"/>
          <w:rFonts w:asciiTheme="majorBidi" w:hAnsiTheme="majorBidi" w:cstheme="majorBidi"/>
          <w:b/>
          <w:bCs/>
          <w:sz w:val="24"/>
          <w:szCs w:val="24"/>
        </w:rPr>
        <w:t>(G1</w:t>
      </w:r>
      <w:r w:rsidRPr="00C71AD6">
        <w:rPr>
          <w:rStyle w:val="PageNumber"/>
          <w:rFonts w:asciiTheme="majorBidi" w:hAnsiTheme="majorBidi" w:cstheme="majorBidi"/>
          <w:sz w:val="24"/>
          <w:szCs w:val="24"/>
        </w:rPr>
        <w:t xml:space="preserve"> and</w:t>
      </w:r>
      <w:r w:rsidRPr="00C71AD6">
        <w:rPr>
          <w:rStyle w:val="PageNumber"/>
          <w:rFonts w:asciiTheme="majorBidi" w:hAnsiTheme="majorBidi" w:cstheme="majorBidi"/>
          <w:b/>
          <w:bCs/>
          <w:sz w:val="24"/>
          <w:szCs w:val="24"/>
        </w:rPr>
        <w:t xml:space="preserve"> G2)</w:t>
      </w:r>
      <w:r w:rsidRPr="00C71AD6">
        <w:rPr>
          <w:rStyle w:val="PageNumber"/>
          <w:rFonts w:asciiTheme="majorBidi" w:hAnsiTheme="majorBidi" w:cstheme="majorBidi"/>
          <w:sz w:val="24"/>
          <w:szCs w:val="24"/>
        </w:rPr>
        <w:t xml:space="preserve"> was decreased to </w:t>
      </w:r>
      <w:r w:rsidRPr="00C71AD6">
        <w:rPr>
          <w:rStyle w:val="PageNumber"/>
          <w:rFonts w:asciiTheme="majorBidi" w:hAnsiTheme="majorBidi" w:cstheme="majorBidi"/>
          <w:b/>
          <w:bCs/>
          <w:sz w:val="24"/>
          <w:szCs w:val="24"/>
        </w:rPr>
        <w:t>95.2%</w:t>
      </w:r>
      <w:r w:rsidRPr="00C71AD6">
        <w:rPr>
          <w:rStyle w:val="PageNumber"/>
          <w:rFonts w:asciiTheme="majorBidi" w:hAnsiTheme="majorBidi" w:cstheme="majorBidi"/>
          <w:sz w:val="24"/>
          <w:szCs w:val="24"/>
        </w:rPr>
        <w:t xml:space="preserve"> and </w:t>
      </w:r>
      <w:r w:rsidRPr="00C71AD6">
        <w:rPr>
          <w:rStyle w:val="PageNumber"/>
          <w:rFonts w:asciiTheme="majorBidi" w:hAnsiTheme="majorBidi" w:cstheme="majorBidi"/>
          <w:b/>
          <w:bCs/>
          <w:sz w:val="24"/>
          <w:szCs w:val="24"/>
        </w:rPr>
        <w:t>85.7%</w:t>
      </w:r>
      <w:r w:rsidRPr="00C71AD6">
        <w:rPr>
          <w:rStyle w:val="PageNumber"/>
          <w:rFonts w:asciiTheme="majorBidi" w:hAnsiTheme="majorBidi" w:cstheme="majorBidi"/>
          <w:sz w:val="24"/>
          <w:szCs w:val="24"/>
        </w:rPr>
        <w:t>, respectively</w:t>
      </w:r>
      <w:r w:rsidRPr="00C71AD6">
        <w:rPr>
          <w:rFonts w:asciiTheme="majorBidi" w:hAnsiTheme="majorBidi" w:cstheme="majorBidi"/>
          <w:color w:val="000000"/>
          <w:sz w:val="24"/>
          <w:szCs w:val="24"/>
        </w:rPr>
        <w:t>.</w:t>
      </w:r>
      <w:r w:rsidRPr="00C71AD6">
        <w:rPr>
          <w:rStyle w:val="PageNumber"/>
          <w:rFonts w:asciiTheme="majorBidi" w:hAnsiTheme="majorBidi" w:cstheme="majorBidi"/>
          <w:sz w:val="24"/>
          <w:szCs w:val="24"/>
        </w:rPr>
        <w:t xml:space="preserve"> The percent of survival of </w:t>
      </w:r>
      <w:r w:rsidRPr="00C71AD6">
        <w:rPr>
          <w:rStyle w:val="PageNumber"/>
          <w:rFonts w:asciiTheme="majorBidi" w:hAnsiTheme="majorBidi" w:cstheme="majorBidi"/>
          <w:b/>
          <w:bCs/>
          <w:sz w:val="24"/>
          <w:szCs w:val="24"/>
        </w:rPr>
        <w:t>G2</w:t>
      </w:r>
      <w:r w:rsidRPr="00C71AD6">
        <w:rPr>
          <w:rStyle w:val="PageNumber"/>
          <w:rFonts w:asciiTheme="majorBidi" w:hAnsiTheme="majorBidi" w:cstheme="majorBidi"/>
          <w:sz w:val="24"/>
          <w:szCs w:val="24"/>
        </w:rPr>
        <w:t xml:space="preserve"> were significantly decreased in contrast with the control group.</w:t>
      </w:r>
    </w:p>
    <w:p w:rsidR="00C71AD6" w:rsidRPr="00C71AD6" w:rsidRDefault="00C71AD6" w:rsidP="005E3D90">
      <w:pPr>
        <w:autoSpaceDE w:val="0"/>
        <w:autoSpaceDN w:val="0"/>
        <w:bidi w:val="0"/>
        <w:adjustRightInd w:val="0"/>
        <w:spacing w:after="0" w:line="360" w:lineRule="auto"/>
        <w:ind w:firstLine="851"/>
        <w:jc w:val="both"/>
        <w:rPr>
          <w:rFonts w:asciiTheme="majorBidi" w:hAnsiTheme="majorBidi" w:cstheme="majorBidi"/>
          <w:color w:val="000000"/>
          <w:sz w:val="24"/>
          <w:szCs w:val="24"/>
          <w:lang w:val="en-GB"/>
        </w:rPr>
      </w:pPr>
      <w:r w:rsidRPr="00C71AD6">
        <w:rPr>
          <w:rFonts w:asciiTheme="majorBidi" w:hAnsiTheme="majorBidi" w:cstheme="majorBidi"/>
          <w:b/>
          <w:bCs/>
          <w:sz w:val="24"/>
          <w:szCs w:val="24"/>
          <w:lang w:val="en-GB"/>
        </w:rPr>
        <w:t xml:space="preserve">Manson </w:t>
      </w:r>
      <w:r w:rsidRPr="00C71AD6">
        <w:rPr>
          <w:rFonts w:asciiTheme="majorBidi" w:hAnsiTheme="majorBidi" w:cstheme="majorBidi"/>
          <w:b/>
          <w:bCs/>
          <w:i/>
          <w:iCs/>
          <w:sz w:val="24"/>
          <w:szCs w:val="24"/>
          <w:lang w:val="en-GB"/>
        </w:rPr>
        <w:t>et al.</w:t>
      </w:r>
      <w:r w:rsidRPr="00C71AD6">
        <w:rPr>
          <w:rFonts w:asciiTheme="majorBidi" w:hAnsiTheme="majorBidi" w:cstheme="majorBidi"/>
          <w:b/>
          <w:bCs/>
          <w:sz w:val="24"/>
          <w:szCs w:val="24"/>
          <w:lang w:val="en-GB"/>
        </w:rPr>
        <w:t xml:space="preserve"> (1984</w:t>
      </w:r>
      <w:r w:rsidRPr="00C71AD6">
        <w:rPr>
          <w:rFonts w:asciiTheme="majorBidi" w:hAnsiTheme="majorBidi" w:cstheme="majorBidi"/>
          <w:b/>
          <w:bCs/>
          <w:color w:val="000000"/>
          <w:sz w:val="24"/>
          <w:szCs w:val="24"/>
        </w:rPr>
        <w:t xml:space="preserve">) </w:t>
      </w:r>
      <w:r w:rsidRPr="00C71AD6">
        <w:rPr>
          <w:rFonts w:asciiTheme="majorBidi" w:hAnsiTheme="majorBidi" w:cstheme="majorBidi"/>
          <w:color w:val="000000"/>
          <w:sz w:val="24"/>
          <w:szCs w:val="24"/>
        </w:rPr>
        <w:t>reported that exposure of rats</w:t>
      </w:r>
      <w:r w:rsidRPr="00C71AD6">
        <w:rPr>
          <w:rFonts w:asciiTheme="majorBidi" w:hAnsiTheme="majorBidi" w:cstheme="majorBidi"/>
          <w:b/>
          <w:bCs/>
          <w:color w:val="000000"/>
          <w:sz w:val="24"/>
          <w:szCs w:val="24"/>
        </w:rPr>
        <w:t xml:space="preserve"> </w:t>
      </w:r>
      <w:r w:rsidRPr="00C71AD6">
        <w:rPr>
          <w:rFonts w:asciiTheme="majorBidi" w:hAnsiTheme="majorBidi" w:cstheme="majorBidi"/>
          <w:sz w:val="24"/>
          <w:szCs w:val="24"/>
          <w:lang w:val="en-GB"/>
        </w:rPr>
        <w:t xml:space="preserve">to </w:t>
      </w:r>
      <w:r w:rsidRPr="00C71AD6">
        <w:rPr>
          <w:rFonts w:asciiTheme="majorBidi" w:hAnsiTheme="majorBidi" w:cstheme="majorBidi"/>
          <w:b/>
          <w:bCs/>
          <w:sz w:val="24"/>
          <w:szCs w:val="24"/>
          <w:lang w:val="en-GB"/>
        </w:rPr>
        <w:t>TCE</w:t>
      </w:r>
      <w:r w:rsidRPr="00C71AD6">
        <w:rPr>
          <w:rFonts w:asciiTheme="majorBidi" w:hAnsiTheme="majorBidi" w:cstheme="majorBidi"/>
          <w:sz w:val="24"/>
          <w:szCs w:val="24"/>
          <w:lang w:val="en-GB"/>
        </w:rPr>
        <w:t xml:space="preserve"> by </w:t>
      </w:r>
      <w:proofErr w:type="spellStart"/>
      <w:r w:rsidRPr="00C71AD6">
        <w:rPr>
          <w:rFonts w:asciiTheme="majorBidi" w:hAnsiTheme="majorBidi" w:cstheme="majorBidi"/>
          <w:sz w:val="24"/>
          <w:szCs w:val="24"/>
          <w:lang w:val="en-GB"/>
        </w:rPr>
        <w:t>gavage</w:t>
      </w:r>
      <w:proofErr w:type="spellEnd"/>
      <w:r w:rsidRPr="00C71AD6">
        <w:rPr>
          <w:rFonts w:asciiTheme="majorBidi" w:hAnsiTheme="majorBidi" w:cstheme="majorBidi"/>
          <w:sz w:val="24"/>
          <w:szCs w:val="24"/>
          <w:lang w:val="en-GB"/>
        </w:rPr>
        <w:t xml:space="preserve"> in corn oil at doses of 0, 10, 100, or 1000 mg/kg/day for 2 weeks prior to and throughout mating to day 21 of gestation exhibited increased maternal mortality, decreased maternal weight gain, and decreased neonatal survival in the high-dose group</w:t>
      </w:r>
      <w:r w:rsidRPr="00C71AD6">
        <w:rPr>
          <w:rFonts w:asciiTheme="majorBidi" w:hAnsiTheme="majorBidi" w:cstheme="majorBidi"/>
          <w:color w:val="000000"/>
          <w:sz w:val="24"/>
          <w:szCs w:val="24"/>
          <w:lang w:val="en-GB"/>
        </w:rPr>
        <w:t>.</w:t>
      </w:r>
    </w:p>
    <w:p w:rsidR="00C71AD6" w:rsidRPr="00C71AD6" w:rsidRDefault="00C71AD6" w:rsidP="005E3D90">
      <w:pPr>
        <w:autoSpaceDE w:val="0"/>
        <w:autoSpaceDN w:val="0"/>
        <w:bidi w:val="0"/>
        <w:adjustRightInd w:val="0"/>
        <w:spacing w:after="0" w:line="360" w:lineRule="auto"/>
        <w:ind w:firstLine="851"/>
        <w:jc w:val="both"/>
        <w:rPr>
          <w:rFonts w:asciiTheme="majorBidi" w:hAnsiTheme="majorBidi" w:cstheme="majorBidi"/>
          <w:color w:val="000000"/>
          <w:sz w:val="24"/>
          <w:szCs w:val="24"/>
        </w:rPr>
      </w:pPr>
      <w:r w:rsidRPr="00C71AD6">
        <w:rPr>
          <w:rFonts w:asciiTheme="majorBidi" w:hAnsiTheme="majorBidi" w:cstheme="majorBidi"/>
          <w:color w:val="000000"/>
          <w:sz w:val="24"/>
          <w:szCs w:val="24"/>
        </w:rPr>
        <w:lastRenderedPageBreak/>
        <w:t xml:space="preserve">Both </w:t>
      </w:r>
      <w:r w:rsidRPr="00C71AD6">
        <w:rPr>
          <w:rFonts w:asciiTheme="majorBidi" w:hAnsiTheme="majorBidi" w:cstheme="majorBidi"/>
          <w:b/>
          <w:bCs/>
          <w:color w:val="000000"/>
          <w:sz w:val="24"/>
          <w:szCs w:val="24"/>
        </w:rPr>
        <w:t>TCA</w:t>
      </w:r>
      <w:r w:rsidRPr="00C71AD6">
        <w:rPr>
          <w:rFonts w:asciiTheme="majorBidi" w:hAnsiTheme="majorBidi" w:cstheme="majorBidi"/>
          <w:color w:val="000000"/>
          <w:sz w:val="24"/>
          <w:szCs w:val="24"/>
        </w:rPr>
        <w:t xml:space="preserve"> and </w:t>
      </w:r>
      <w:r w:rsidRPr="00C71AD6">
        <w:rPr>
          <w:rFonts w:asciiTheme="majorBidi" w:hAnsiTheme="majorBidi" w:cstheme="majorBidi"/>
          <w:b/>
          <w:bCs/>
          <w:color w:val="000000"/>
          <w:sz w:val="24"/>
          <w:szCs w:val="24"/>
        </w:rPr>
        <w:t>DCA</w:t>
      </w:r>
      <w:r w:rsidRPr="00C71AD6">
        <w:rPr>
          <w:rFonts w:asciiTheme="majorBidi" w:hAnsiTheme="majorBidi" w:cstheme="majorBidi"/>
          <w:color w:val="000000"/>
          <w:sz w:val="24"/>
          <w:szCs w:val="24"/>
        </w:rPr>
        <w:t xml:space="preserve"> exposure were associated with a substantial increase in implantation and </w:t>
      </w:r>
      <w:proofErr w:type="spellStart"/>
      <w:r w:rsidRPr="00C71AD6">
        <w:rPr>
          <w:rFonts w:asciiTheme="majorBidi" w:hAnsiTheme="majorBidi" w:cstheme="majorBidi"/>
          <w:color w:val="000000"/>
          <w:sz w:val="24"/>
          <w:szCs w:val="24"/>
        </w:rPr>
        <w:t>resorption</w:t>
      </w:r>
      <w:proofErr w:type="spellEnd"/>
      <w:r w:rsidRPr="00C71AD6">
        <w:rPr>
          <w:rFonts w:asciiTheme="majorBidi" w:hAnsiTheme="majorBidi" w:cstheme="majorBidi"/>
          <w:color w:val="000000"/>
          <w:sz w:val="24"/>
          <w:szCs w:val="24"/>
        </w:rPr>
        <w:t xml:space="preserve"> sites and decreased fetal weight </w:t>
      </w:r>
      <w:r w:rsidRPr="00C71AD6">
        <w:rPr>
          <w:rFonts w:asciiTheme="majorBidi" w:hAnsiTheme="majorBidi" w:cstheme="majorBidi"/>
          <w:b/>
          <w:bCs/>
          <w:color w:val="000000"/>
          <w:sz w:val="24"/>
          <w:szCs w:val="24"/>
        </w:rPr>
        <w:t xml:space="preserve">(Smith </w:t>
      </w:r>
      <w:r w:rsidRPr="00C71AD6">
        <w:rPr>
          <w:rFonts w:asciiTheme="majorBidi" w:hAnsiTheme="majorBidi" w:cstheme="majorBidi"/>
          <w:b/>
          <w:bCs/>
          <w:i/>
          <w:iCs/>
          <w:color w:val="000000"/>
          <w:sz w:val="24"/>
          <w:szCs w:val="24"/>
        </w:rPr>
        <w:t>et al.,</w:t>
      </w:r>
      <w:r w:rsidRPr="00C71AD6">
        <w:rPr>
          <w:rFonts w:asciiTheme="majorBidi" w:hAnsiTheme="majorBidi" w:cstheme="majorBidi"/>
          <w:b/>
          <w:bCs/>
          <w:color w:val="000000"/>
          <w:sz w:val="24"/>
          <w:szCs w:val="24"/>
        </w:rPr>
        <w:t xml:space="preserve"> 1989 &amp; 1992).</w:t>
      </w:r>
      <w:r w:rsidRPr="00C71AD6">
        <w:rPr>
          <w:rFonts w:asciiTheme="majorBidi" w:hAnsiTheme="majorBidi" w:cstheme="majorBidi"/>
          <w:color w:val="000000"/>
          <w:sz w:val="24"/>
          <w:szCs w:val="24"/>
        </w:rPr>
        <w:t xml:space="preserve"> These effects were observed in the absence of maternal toxicity.</w:t>
      </w:r>
    </w:p>
    <w:p w:rsidR="00C71AD6" w:rsidRPr="00C71AD6" w:rsidRDefault="00C71AD6" w:rsidP="005E3D90">
      <w:pPr>
        <w:autoSpaceDE w:val="0"/>
        <w:autoSpaceDN w:val="0"/>
        <w:bidi w:val="0"/>
        <w:adjustRightInd w:val="0"/>
        <w:spacing w:after="0" w:line="360" w:lineRule="auto"/>
        <w:ind w:firstLine="851"/>
        <w:jc w:val="both"/>
        <w:rPr>
          <w:rFonts w:asciiTheme="majorBidi" w:hAnsiTheme="majorBidi" w:cstheme="majorBidi"/>
          <w:color w:val="000000"/>
          <w:sz w:val="24"/>
          <w:szCs w:val="24"/>
        </w:rPr>
      </w:pPr>
      <w:r w:rsidRPr="00C71AD6">
        <w:rPr>
          <w:rStyle w:val="PageNumber"/>
          <w:rFonts w:asciiTheme="majorBidi" w:hAnsiTheme="majorBidi" w:cstheme="majorBidi"/>
          <w:sz w:val="24"/>
          <w:szCs w:val="24"/>
        </w:rPr>
        <w:t xml:space="preserve">In the present work, most of the treated females were </w:t>
      </w:r>
      <w:proofErr w:type="spellStart"/>
      <w:r w:rsidRPr="00C71AD6">
        <w:rPr>
          <w:rStyle w:val="PageNumber"/>
          <w:rFonts w:asciiTheme="majorBidi" w:hAnsiTheme="majorBidi" w:cstheme="majorBidi"/>
          <w:sz w:val="24"/>
          <w:szCs w:val="24"/>
        </w:rPr>
        <w:t>symptomised</w:t>
      </w:r>
      <w:proofErr w:type="spellEnd"/>
      <w:r w:rsidRPr="00C71AD6">
        <w:rPr>
          <w:rStyle w:val="PageNumber"/>
          <w:rFonts w:asciiTheme="majorBidi" w:hAnsiTheme="majorBidi" w:cstheme="majorBidi"/>
          <w:sz w:val="24"/>
          <w:szCs w:val="24"/>
        </w:rPr>
        <w:t xml:space="preserve"> by reduced excitability and appetite. At the end of the third week of treatment the females were allowed to mate with normal proven males. It was observed that the percent of mating for the treated females was less than the control. The percent of succeeded copulation was </w:t>
      </w:r>
      <w:r w:rsidRPr="00C71AD6">
        <w:rPr>
          <w:rStyle w:val="PageNumber"/>
          <w:rFonts w:asciiTheme="majorBidi" w:hAnsiTheme="majorBidi" w:cstheme="majorBidi"/>
          <w:b/>
          <w:bCs/>
          <w:sz w:val="24"/>
          <w:szCs w:val="24"/>
        </w:rPr>
        <w:t>77.8%</w:t>
      </w:r>
      <w:r w:rsidRPr="00C71AD6">
        <w:rPr>
          <w:rStyle w:val="PageNumber"/>
          <w:rFonts w:asciiTheme="majorBidi" w:hAnsiTheme="majorBidi" w:cstheme="majorBidi"/>
          <w:sz w:val="24"/>
          <w:szCs w:val="24"/>
        </w:rPr>
        <w:t xml:space="preserve"> for </w:t>
      </w:r>
      <w:r w:rsidRPr="00C71AD6">
        <w:rPr>
          <w:rStyle w:val="PageNumber"/>
          <w:rFonts w:asciiTheme="majorBidi" w:hAnsiTheme="majorBidi" w:cstheme="majorBidi"/>
          <w:b/>
          <w:bCs/>
          <w:sz w:val="24"/>
          <w:szCs w:val="24"/>
        </w:rPr>
        <w:t>G1</w:t>
      </w:r>
      <w:r w:rsidRPr="00C71AD6">
        <w:rPr>
          <w:rStyle w:val="PageNumber"/>
          <w:rFonts w:asciiTheme="majorBidi" w:hAnsiTheme="majorBidi" w:cstheme="majorBidi"/>
          <w:sz w:val="24"/>
          <w:szCs w:val="24"/>
        </w:rPr>
        <w:t xml:space="preserve"> and </w:t>
      </w:r>
      <w:r w:rsidRPr="00C71AD6">
        <w:rPr>
          <w:rStyle w:val="PageNumber"/>
          <w:rFonts w:asciiTheme="majorBidi" w:hAnsiTheme="majorBidi" w:cstheme="majorBidi"/>
          <w:b/>
          <w:bCs/>
          <w:sz w:val="24"/>
          <w:szCs w:val="24"/>
        </w:rPr>
        <w:t>60.9%</w:t>
      </w:r>
      <w:r w:rsidRPr="00C71AD6">
        <w:rPr>
          <w:rStyle w:val="PageNumber"/>
          <w:rFonts w:asciiTheme="majorBidi" w:hAnsiTheme="majorBidi" w:cstheme="majorBidi"/>
          <w:sz w:val="24"/>
          <w:szCs w:val="24"/>
        </w:rPr>
        <w:t xml:space="preserve"> for </w:t>
      </w:r>
      <w:r w:rsidRPr="00C71AD6">
        <w:rPr>
          <w:rStyle w:val="PageNumber"/>
          <w:rFonts w:asciiTheme="majorBidi" w:hAnsiTheme="majorBidi" w:cstheme="majorBidi"/>
          <w:b/>
          <w:bCs/>
          <w:sz w:val="24"/>
          <w:szCs w:val="24"/>
        </w:rPr>
        <w:t>G2</w:t>
      </w:r>
      <w:r w:rsidRPr="00C71AD6">
        <w:rPr>
          <w:rStyle w:val="PageNumber"/>
          <w:rFonts w:asciiTheme="majorBidi" w:hAnsiTheme="majorBidi" w:cstheme="majorBidi"/>
          <w:sz w:val="24"/>
          <w:szCs w:val="24"/>
        </w:rPr>
        <w:t xml:space="preserve"> compared with </w:t>
      </w:r>
      <w:r w:rsidRPr="00C71AD6">
        <w:rPr>
          <w:rStyle w:val="PageNumber"/>
          <w:rFonts w:asciiTheme="majorBidi" w:hAnsiTheme="majorBidi" w:cstheme="majorBidi"/>
          <w:b/>
          <w:bCs/>
          <w:sz w:val="24"/>
          <w:szCs w:val="24"/>
        </w:rPr>
        <w:t>96.7%</w:t>
      </w:r>
      <w:r w:rsidRPr="00C71AD6">
        <w:rPr>
          <w:rStyle w:val="PageNumber"/>
          <w:rFonts w:asciiTheme="majorBidi" w:hAnsiTheme="majorBidi" w:cstheme="majorBidi"/>
          <w:sz w:val="24"/>
          <w:szCs w:val="24"/>
        </w:rPr>
        <w:t xml:space="preserve"> for the control group</w:t>
      </w:r>
      <w:r w:rsidRPr="00C71AD6">
        <w:rPr>
          <w:rFonts w:asciiTheme="majorBidi" w:hAnsiTheme="majorBidi" w:cstheme="majorBidi"/>
          <w:color w:val="000000"/>
          <w:sz w:val="24"/>
          <w:szCs w:val="24"/>
        </w:rPr>
        <w:t>.</w:t>
      </w:r>
    </w:p>
    <w:p w:rsidR="00C71AD6" w:rsidRPr="00C71AD6" w:rsidRDefault="00C71AD6" w:rsidP="005E3D90">
      <w:pPr>
        <w:autoSpaceDE w:val="0"/>
        <w:autoSpaceDN w:val="0"/>
        <w:bidi w:val="0"/>
        <w:adjustRightInd w:val="0"/>
        <w:spacing w:after="0" w:line="360" w:lineRule="auto"/>
        <w:ind w:firstLine="851"/>
        <w:jc w:val="both"/>
        <w:rPr>
          <w:rFonts w:asciiTheme="majorBidi" w:hAnsiTheme="majorBidi" w:cstheme="majorBidi"/>
          <w:color w:val="000000"/>
          <w:sz w:val="24"/>
          <w:szCs w:val="24"/>
        </w:rPr>
      </w:pPr>
      <w:r w:rsidRPr="00C71AD6">
        <w:rPr>
          <w:rFonts w:asciiTheme="majorBidi" w:hAnsiTheme="majorBidi" w:cstheme="majorBidi"/>
          <w:color w:val="000000"/>
          <w:sz w:val="24"/>
          <w:szCs w:val="24"/>
        </w:rPr>
        <w:t>These result disagree with</w:t>
      </w:r>
      <w:r w:rsidRPr="00C71AD6">
        <w:rPr>
          <w:rFonts w:asciiTheme="majorBidi" w:hAnsiTheme="majorBidi" w:cstheme="majorBidi"/>
          <w:b/>
          <w:bCs/>
          <w:sz w:val="24"/>
          <w:szCs w:val="24"/>
          <w:lang w:val="en-GB"/>
        </w:rPr>
        <w:t xml:space="preserve"> Manson </w:t>
      </w:r>
      <w:r w:rsidRPr="00C71AD6">
        <w:rPr>
          <w:rFonts w:asciiTheme="majorBidi" w:hAnsiTheme="majorBidi" w:cstheme="majorBidi"/>
          <w:b/>
          <w:bCs/>
          <w:i/>
          <w:iCs/>
          <w:sz w:val="24"/>
          <w:szCs w:val="24"/>
          <w:lang w:val="en-GB"/>
        </w:rPr>
        <w:t>et al.</w:t>
      </w:r>
      <w:r w:rsidRPr="00C71AD6">
        <w:rPr>
          <w:rFonts w:asciiTheme="majorBidi" w:hAnsiTheme="majorBidi" w:cstheme="majorBidi"/>
          <w:b/>
          <w:bCs/>
          <w:sz w:val="24"/>
          <w:szCs w:val="24"/>
          <w:lang w:val="en-GB"/>
        </w:rPr>
        <w:t xml:space="preserve"> (1984</w:t>
      </w:r>
      <w:r w:rsidRPr="00C71AD6">
        <w:rPr>
          <w:rFonts w:asciiTheme="majorBidi" w:hAnsiTheme="majorBidi" w:cstheme="majorBidi"/>
          <w:b/>
          <w:bCs/>
          <w:color w:val="000000"/>
          <w:sz w:val="24"/>
          <w:szCs w:val="24"/>
        </w:rPr>
        <w:t xml:space="preserve">), </w:t>
      </w:r>
      <w:r w:rsidRPr="00C71AD6">
        <w:rPr>
          <w:rFonts w:asciiTheme="majorBidi" w:hAnsiTheme="majorBidi" w:cstheme="majorBidi"/>
          <w:color w:val="000000"/>
          <w:sz w:val="24"/>
          <w:szCs w:val="24"/>
        </w:rPr>
        <w:t>they suggested that TCE had no influence on mating success.</w:t>
      </w:r>
    </w:p>
    <w:p w:rsidR="00C71AD6" w:rsidRPr="00C71AD6" w:rsidRDefault="00C71AD6" w:rsidP="005E3D90">
      <w:pPr>
        <w:autoSpaceDE w:val="0"/>
        <w:autoSpaceDN w:val="0"/>
        <w:bidi w:val="0"/>
        <w:adjustRightInd w:val="0"/>
        <w:spacing w:after="0" w:line="360" w:lineRule="auto"/>
        <w:ind w:firstLine="851"/>
        <w:jc w:val="both"/>
        <w:rPr>
          <w:rFonts w:asciiTheme="majorBidi" w:hAnsiTheme="majorBidi" w:cstheme="majorBidi"/>
          <w:b/>
          <w:bCs/>
          <w:sz w:val="24"/>
          <w:szCs w:val="24"/>
        </w:rPr>
      </w:pPr>
      <w:proofErr w:type="spellStart"/>
      <w:r w:rsidRPr="00C71AD6">
        <w:rPr>
          <w:rFonts w:asciiTheme="majorBidi" w:hAnsiTheme="majorBidi" w:cstheme="majorBidi"/>
          <w:b/>
          <w:bCs/>
          <w:color w:val="000000"/>
          <w:sz w:val="24"/>
          <w:szCs w:val="24"/>
        </w:rPr>
        <w:t>Fredricksson</w:t>
      </w:r>
      <w:proofErr w:type="spellEnd"/>
      <w:r w:rsidRPr="00C71AD6">
        <w:rPr>
          <w:rFonts w:asciiTheme="majorBidi" w:hAnsiTheme="majorBidi" w:cstheme="majorBidi"/>
          <w:b/>
          <w:bCs/>
          <w:color w:val="000000"/>
          <w:sz w:val="24"/>
          <w:szCs w:val="24"/>
        </w:rPr>
        <w:t xml:space="preserve"> </w:t>
      </w:r>
      <w:r w:rsidRPr="00C71AD6">
        <w:rPr>
          <w:rFonts w:asciiTheme="majorBidi" w:hAnsiTheme="majorBidi" w:cstheme="majorBidi"/>
          <w:b/>
          <w:bCs/>
          <w:i/>
          <w:iCs/>
          <w:color w:val="000000"/>
          <w:sz w:val="24"/>
          <w:szCs w:val="24"/>
        </w:rPr>
        <w:t>et al.</w:t>
      </w:r>
      <w:r w:rsidRPr="00C71AD6">
        <w:rPr>
          <w:rFonts w:asciiTheme="majorBidi" w:hAnsiTheme="majorBidi" w:cstheme="majorBidi"/>
          <w:b/>
          <w:bCs/>
          <w:color w:val="000000"/>
          <w:sz w:val="24"/>
          <w:szCs w:val="24"/>
        </w:rPr>
        <w:t xml:space="preserve"> (1993) </w:t>
      </w:r>
      <w:r w:rsidRPr="00C71AD6">
        <w:rPr>
          <w:rFonts w:asciiTheme="majorBidi" w:hAnsiTheme="majorBidi" w:cstheme="majorBidi"/>
          <w:color w:val="000000"/>
          <w:sz w:val="24"/>
          <w:szCs w:val="24"/>
        </w:rPr>
        <w:t>suggested that</w:t>
      </w:r>
      <w:r w:rsidRPr="00C71AD6">
        <w:rPr>
          <w:rFonts w:asciiTheme="majorBidi" w:hAnsiTheme="majorBidi" w:cstheme="majorBidi"/>
          <w:b/>
          <w:bCs/>
          <w:color w:val="000000"/>
          <w:sz w:val="24"/>
          <w:szCs w:val="24"/>
        </w:rPr>
        <w:t xml:space="preserve"> </w:t>
      </w:r>
      <w:r w:rsidRPr="00C71AD6">
        <w:rPr>
          <w:rFonts w:asciiTheme="majorBidi" w:hAnsiTheme="majorBidi" w:cstheme="majorBidi"/>
          <w:color w:val="000000"/>
          <w:sz w:val="24"/>
          <w:szCs w:val="24"/>
        </w:rPr>
        <w:t>exposure to TCE during the prenatal period have been reported to change adult behavior with prenatal exposure to 50 mg/kg TCE</w:t>
      </w:r>
      <w:r w:rsidRPr="00C71AD6">
        <w:rPr>
          <w:rFonts w:asciiTheme="majorBidi" w:hAnsiTheme="majorBidi" w:cstheme="majorBidi"/>
          <w:sz w:val="24"/>
          <w:szCs w:val="24"/>
        </w:rPr>
        <w:t>.</w:t>
      </w:r>
    </w:p>
    <w:p w:rsidR="00C71AD6" w:rsidRPr="00C71AD6" w:rsidRDefault="00C71AD6" w:rsidP="005E3D90">
      <w:pPr>
        <w:autoSpaceDE w:val="0"/>
        <w:autoSpaceDN w:val="0"/>
        <w:bidi w:val="0"/>
        <w:adjustRightInd w:val="0"/>
        <w:spacing w:after="0" w:line="360" w:lineRule="auto"/>
        <w:ind w:firstLine="851"/>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The present study showed one female from the first group </w:t>
      </w:r>
      <w:r w:rsidRPr="00C71AD6">
        <w:rPr>
          <w:rStyle w:val="PageNumber"/>
          <w:rFonts w:asciiTheme="majorBidi" w:hAnsiTheme="majorBidi" w:cstheme="majorBidi"/>
          <w:b/>
          <w:bCs/>
          <w:sz w:val="24"/>
          <w:szCs w:val="24"/>
        </w:rPr>
        <w:t>(G1)</w:t>
      </w:r>
      <w:r w:rsidRPr="00C71AD6">
        <w:rPr>
          <w:rStyle w:val="PageNumber"/>
          <w:rFonts w:asciiTheme="majorBidi" w:hAnsiTheme="majorBidi" w:cstheme="majorBidi"/>
          <w:sz w:val="24"/>
          <w:szCs w:val="24"/>
        </w:rPr>
        <w:t xml:space="preserve"> that treated with the low dose of </w:t>
      </w:r>
      <w:r w:rsidRPr="00C71AD6">
        <w:rPr>
          <w:rStyle w:val="PageNumber"/>
          <w:rFonts w:asciiTheme="majorBidi" w:hAnsiTheme="majorBidi" w:cstheme="majorBidi"/>
          <w:b/>
          <w:bCs/>
          <w:sz w:val="24"/>
          <w:szCs w:val="24"/>
        </w:rPr>
        <w:t xml:space="preserve">TCE (24 mg/kg </w:t>
      </w:r>
      <w:proofErr w:type="spellStart"/>
      <w:r w:rsidRPr="00C71AD6">
        <w:rPr>
          <w:rStyle w:val="PageNumber"/>
          <w:rFonts w:asciiTheme="majorBidi" w:hAnsiTheme="majorBidi" w:cstheme="majorBidi"/>
          <w:b/>
          <w:bCs/>
          <w:sz w:val="24"/>
          <w:szCs w:val="24"/>
        </w:rPr>
        <w:t>b.w</w:t>
      </w:r>
      <w:proofErr w:type="spellEnd"/>
      <w:r w:rsidRPr="00C71AD6">
        <w:rPr>
          <w:rStyle w:val="PageNumber"/>
          <w:rFonts w:asciiTheme="majorBidi" w:hAnsiTheme="majorBidi" w:cstheme="majorBidi"/>
          <w:b/>
          <w:bCs/>
          <w:sz w:val="24"/>
          <w:szCs w:val="24"/>
        </w:rPr>
        <w:t>.)</w:t>
      </w:r>
      <w:r w:rsidRPr="00C71AD6">
        <w:rPr>
          <w:rStyle w:val="PageNumber"/>
          <w:rFonts w:asciiTheme="majorBidi" w:hAnsiTheme="majorBidi" w:cstheme="majorBidi"/>
          <w:sz w:val="24"/>
          <w:szCs w:val="24"/>
        </w:rPr>
        <w:t xml:space="preserve"> and three females of the second group </w:t>
      </w:r>
      <w:r w:rsidRPr="00C71AD6">
        <w:rPr>
          <w:rStyle w:val="PageNumber"/>
          <w:rFonts w:asciiTheme="majorBidi" w:hAnsiTheme="majorBidi" w:cstheme="majorBidi"/>
          <w:b/>
          <w:bCs/>
          <w:sz w:val="24"/>
          <w:szCs w:val="24"/>
        </w:rPr>
        <w:t>(G2)</w:t>
      </w:r>
      <w:r w:rsidRPr="00C71AD6">
        <w:rPr>
          <w:rStyle w:val="PageNumber"/>
          <w:rFonts w:asciiTheme="majorBidi" w:hAnsiTheme="majorBidi" w:cstheme="majorBidi"/>
          <w:sz w:val="24"/>
          <w:szCs w:val="24"/>
        </w:rPr>
        <w:t xml:space="preserve"> that treated with the high dose of </w:t>
      </w:r>
      <w:r w:rsidRPr="00C71AD6">
        <w:rPr>
          <w:rStyle w:val="PageNumber"/>
          <w:rFonts w:asciiTheme="majorBidi" w:hAnsiTheme="majorBidi" w:cstheme="majorBidi"/>
          <w:b/>
          <w:bCs/>
          <w:sz w:val="24"/>
          <w:szCs w:val="24"/>
        </w:rPr>
        <w:t xml:space="preserve">TCE (240 mg/kg </w:t>
      </w:r>
      <w:proofErr w:type="spellStart"/>
      <w:r w:rsidRPr="00C71AD6">
        <w:rPr>
          <w:rStyle w:val="PageNumber"/>
          <w:rFonts w:asciiTheme="majorBidi" w:hAnsiTheme="majorBidi" w:cstheme="majorBidi"/>
          <w:b/>
          <w:bCs/>
          <w:sz w:val="24"/>
          <w:szCs w:val="24"/>
        </w:rPr>
        <w:t>b.w</w:t>
      </w:r>
      <w:proofErr w:type="spellEnd"/>
      <w:r w:rsidRPr="00C71AD6">
        <w:rPr>
          <w:rStyle w:val="PageNumber"/>
          <w:rFonts w:asciiTheme="majorBidi" w:hAnsiTheme="majorBidi" w:cstheme="majorBidi"/>
          <w:b/>
          <w:bCs/>
          <w:sz w:val="24"/>
          <w:szCs w:val="24"/>
        </w:rPr>
        <w:t>.)</w:t>
      </w:r>
      <w:r w:rsidRPr="00C71AD6">
        <w:rPr>
          <w:rStyle w:val="PageNumber"/>
          <w:rFonts w:asciiTheme="majorBidi" w:hAnsiTheme="majorBidi" w:cstheme="majorBidi"/>
          <w:sz w:val="24"/>
          <w:szCs w:val="24"/>
        </w:rPr>
        <w:t xml:space="preserve"> were aborted during the gestation period. </w:t>
      </w:r>
      <w:proofErr w:type="spellStart"/>
      <w:r w:rsidRPr="00C71AD6">
        <w:rPr>
          <w:rStyle w:val="PageNumber"/>
          <w:rFonts w:asciiTheme="majorBidi" w:hAnsiTheme="majorBidi" w:cstheme="majorBidi"/>
          <w:sz w:val="24"/>
          <w:szCs w:val="24"/>
        </w:rPr>
        <w:t>Howevere</w:t>
      </w:r>
      <w:proofErr w:type="spellEnd"/>
      <w:r w:rsidRPr="00C71AD6">
        <w:rPr>
          <w:rStyle w:val="PageNumber"/>
          <w:rFonts w:asciiTheme="majorBidi" w:hAnsiTheme="majorBidi" w:cstheme="majorBidi"/>
          <w:sz w:val="24"/>
          <w:szCs w:val="24"/>
        </w:rPr>
        <w:t xml:space="preserve">, the control group showed no aborted females. The percent of abortion in the second treated group </w:t>
      </w:r>
      <w:r w:rsidRPr="00C71AD6">
        <w:rPr>
          <w:rStyle w:val="PageNumber"/>
          <w:rFonts w:asciiTheme="majorBidi" w:hAnsiTheme="majorBidi" w:cstheme="majorBidi"/>
          <w:b/>
          <w:bCs/>
          <w:sz w:val="24"/>
          <w:szCs w:val="24"/>
        </w:rPr>
        <w:t>(G2)</w:t>
      </w:r>
      <w:r w:rsidRPr="00C71AD6">
        <w:rPr>
          <w:rStyle w:val="PageNumber"/>
          <w:rFonts w:asciiTheme="majorBidi" w:hAnsiTheme="majorBidi" w:cstheme="majorBidi"/>
          <w:sz w:val="24"/>
          <w:szCs w:val="24"/>
        </w:rPr>
        <w:t xml:space="preserve"> was more than that of the first group </w:t>
      </w:r>
      <w:r w:rsidRPr="00C71AD6">
        <w:rPr>
          <w:rStyle w:val="PageNumber"/>
          <w:rFonts w:asciiTheme="majorBidi" w:hAnsiTheme="majorBidi" w:cstheme="majorBidi"/>
          <w:b/>
          <w:bCs/>
          <w:sz w:val="24"/>
          <w:szCs w:val="24"/>
        </w:rPr>
        <w:t>(G1)</w:t>
      </w:r>
      <w:r w:rsidRPr="00C71AD6">
        <w:rPr>
          <w:rStyle w:val="PageNumber"/>
          <w:rFonts w:asciiTheme="majorBidi" w:hAnsiTheme="majorBidi" w:cstheme="majorBidi"/>
          <w:sz w:val="24"/>
          <w:szCs w:val="24"/>
        </w:rPr>
        <w:t xml:space="preserve"> and control pregnant dams.</w:t>
      </w:r>
      <w:r w:rsidRPr="00C71AD6">
        <w:rPr>
          <w:rStyle w:val="PageNumber"/>
          <w:rFonts w:asciiTheme="majorBidi" w:hAnsiTheme="majorBidi" w:cstheme="majorBidi"/>
          <w:b/>
          <w:bCs/>
          <w:sz w:val="24"/>
          <w:szCs w:val="24"/>
        </w:rPr>
        <w:t xml:space="preserve"> </w:t>
      </w:r>
      <w:r w:rsidRPr="00C71AD6">
        <w:rPr>
          <w:rStyle w:val="PageNumber"/>
          <w:rFonts w:asciiTheme="majorBidi" w:hAnsiTheme="majorBidi" w:cstheme="majorBidi"/>
          <w:sz w:val="24"/>
          <w:szCs w:val="24"/>
        </w:rPr>
        <w:t xml:space="preserve">The mean number of </w:t>
      </w:r>
      <w:proofErr w:type="spellStart"/>
      <w:r w:rsidRPr="00C71AD6">
        <w:rPr>
          <w:rStyle w:val="PageNumber"/>
          <w:rFonts w:asciiTheme="majorBidi" w:hAnsiTheme="majorBidi" w:cstheme="majorBidi"/>
          <w:sz w:val="24"/>
          <w:szCs w:val="24"/>
        </w:rPr>
        <w:t>feotuses</w:t>
      </w:r>
      <w:proofErr w:type="spellEnd"/>
      <w:r w:rsidRPr="00C71AD6">
        <w:rPr>
          <w:rStyle w:val="PageNumber"/>
          <w:rFonts w:asciiTheme="majorBidi" w:hAnsiTheme="majorBidi" w:cstheme="majorBidi"/>
          <w:sz w:val="24"/>
          <w:szCs w:val="24"/>
        </w:rPr>
        <w:t xml:space="preserve"> was markedly reduced in treated groups.</w:t>
      </w:r>
    </w:p>
    <w:p w:rsidR="00C71AD6" w:rsidRPr="00C71AD6" w:rsidRDefault="00C71AD6" w:rsidP="005E3D90">
      <w:pPr>
        <w:autoSpaceDE w:val="0"/>
        <w:autoSpaceDN w:val="0"/>
        <w:bidi w:val="0"/>
        <w:adjustRightInd w:val="0"/>
        <w:spacing w:after="0" w:line="360" w:lineRule="auto"/>
        <w:ind w:firstLine="851"/>
        <w:jc w:val="both"/>
        <w:rPr>
          <w:rFonts w:asciiTheme="majorBidi" w:hAnsiTheme="majorBidi" w:cstheme="majorBidi"/>
          <w:color w:val="000000"/>
          <w:sz w:val="24"/>
          <w:szCs w:val="24"/>
        </w:rPr>
      </w:pPr>
      <w:r w:rsidRPr="00C71AD6">
        <w:rPr>
          <w:rFonts w:asciiTheme="majorBidi" w:eastAsia="SimSun" w:hAnsiTheme="majorBidi" w:cstheme="majorBidi"/>
          <w:sz w:val="24"/>
          <w:szCs w:val="24"/>
          <w:lang w:eastAsia="zh-CN" w:bidi="ar-EG"/>
        </w:rPr>
        <w:t>The above mentioned results agree with those obtained by</w:t>
      </w:r>
      <w:r w:rsidRPr="00C71AD6">
        <w:rPr>
          <w:rFonts w:asciiTheme="majorBidi" w:hAnsiTheme="majorBidi" w:cstheme="majorBidi"/>
          <w:color w:val="000000"/>
          <w:sz w:val="24"/>
          <w:szCs w:val="24"/>
        </w:rPr>
        <w:t xml:space="preserve"> </w:t>
      </w:r>
      <w:r w:rsidRPr="00C71AD6">
        <w:rPr>
          <w:rStyle w:val="PageNumber"/>
          <w:rFonts w:asciiTheme="majorBidi" w:hAnsiTheme="majorBidi" w:cstheme="majorBidi"/>
          <w:b/>
          <w:bCs/>
          <w:sz w:val="24"/>
          <w:szCs w:val="24"/>
        </w:rPr>
        <w:t xml:space="preserve">(Windham </w:t>
      </w:r>
      <w:r w:rsidRPr="00C71AD6">
        <w:rPr>
          <w:rStyle w:val="PageNumber"/>
          <w:rFonts w:asciiTheme="majorBidi" w:hAnsiTheme="majorBidi" w:cstheme="majorBidi"/>
          <w:b/>
          <w:bCs/>
          <w:i/>
          <w:iCs/>
          <w:sz w:val="24"/>
          <w:szCs w:val="24"/>
        </w:rPr>
        <w:t>et al.,</w:t>
      </w:r>
      <w:r w:rsidRPr="00C71AD6">
        <w:rPr>
          <w:rStyle w:val="PageNumber"/>
          <w:rFonts w:asciiTheme="majorBidi" w:hAnsiTheme="majorBidi" w:cstheme="majorBidi"/>
          <w:b/>
          <w:bCs/>
          <w:sz w:val="24"/>
          <w:szCs w:val="24"/>
        </w:rPr>
        <w:t xml:space="preserve"> 1991; </w:t>
      </w:r>
      <w:proofErr w:type="spellStart"/>
      <w:r w:rsidRPr="00C71AD6">
        <w:rPr>
          <w:rStyle w:val="PageNumber"/>
          <w:rFonts w:asciiTheme="majorBidi" w:hAnsiTheme="majorBidi" w:cstheme="majorBidi"/>
          <w:b/>
          <w:bCs/>
          <w:sz w:val="24"/>
          <w:szCs w:val="24"/>
        </w:rPr>
        <w:t>Taskinen</w:t>
      </w:r>
      <w:proofErr w:type="spellEnd"/>
      <w:r w:rsidRPr="00C71AD6">
        <w:rPr>
          <w:rStyle w:val="PageNumber"/>
          <w:rFonts w:asciiTheme="majorBidi" w:hAnsiTheme="majorBidi" w:cstheme="majorBidi"/>
          <w:b/>
          <w:bCs/>
          <w:sz w:val="24"/>
          <w:szCs w:val="24"/>
        </w:rPr>
        <w:t xml:space="preserve"> </w:t>
      </w:r>
      <w:r w:rsidRPr="00C71AD6">
        <w:rPr>
          <w:rStyle w:val="PageNumber"/>
          <w:rFonts w:asciiTheme="majorBidi" w:hAnsiTheme="majorBidi" w:cstheme="majorBidi"/>
          <w:b/>
          <w:bCs/>
          <w:i/>
          <w:iCs/>
          <w:sz w:val="24"/>
          <w:szCs w:val="24"/>
        </w:rPr>
        <w:t>et al.,</w:t>
      </w:r>
      <w:r w:rsidRPr="00C71AD6">
        <w:rPr>
          <w:rStyle w:val="PageNumber"/>
          <w:rFonts w:asciiTheme="majorBidi" w:hAnsiTheme="majorBidi" w:cstheme="majorBidi"/>
          <w:b/>
          <w:bCs/>
          <w:sz w:val="24"/>
          <w:szCs w:val="24"/>
        </w:rPr>
        <w:t xml:space="preserve"> 1994 and ATSDR, 2001) </w:t>
      </w:r>
      <w:r w:rsidRPr="00C71AD6">
        <w:rPr>
          <w:rStyle w:val="PageNumber"/>
          <w:rFonts w:asciiTheme="majorBidi" w:hAnsiTheme="majorBidi" w:cstheme="majorBidi"/>
          <w:sz w:val="24"/>
          <w:szCs w:val="24"/>
        </w:rPr>
        <w:t xml:space="preserve">they reported that exposure to TCE Increased risk of spontaneous abortion among frequently-exposed women, but disagree with </w:t>
      </w:r>
      <w:r w:rsidRPr="00C71AD6">
        <w:rPr>
          <w:rStyle w:val="PageNumber"/>
          <w:rFonts w:asciiTheme="majorBidi" w:hAnsiTheme="majorBidi" w:cstheme="majorBidi"/>
          <w:b/>
          <w:bCs/>
          <w:sz w:val="24"/>
          <w:szCs w:val="24"/>
        </w:rPr>
        <w:t xml:space="preserve">(Goldberg </w:t>
      </w:r>
      <w:r w:rsidRPr="00C71AD6">
        <w:rPr>
          <w:rStyle w:val="PageNumber"/>
          <w:rFonts w:asciiTheme="majorBidi" w:hAnsiTheme="majorBidi" w:cstheme="majorBidi"/>
          <w:b/>
          <w:bCs/>
          <w:i/>
          <w:iCs/>
          <w:sz w:val="24"/>
          <w:szCs w:val="24"/>
        </w:rPr>
        <w:t>et al.,</w:t>
      </w:r>
      <w:r w:rsidRPr="00C71AD6">
        <w:rPr>
          <w:rStyle w:val="PageNumber"/>
          <w:rFonts w:asciiTheme="majorBidi" w:hAnsiTheme="majorBidi" w:cstheme="majorBidi"/>
          <w:b/>
          <w:bCs/>
          <w:sz w:val="24"/>
          <w:szCs w:val="24"/>
        </w:rPr>
        <w:t xml:space="preserve"> 1990; </w:t>
      </w:r>
      <w:proofErr w:type="spellStart"/>
      <w:r w:rsidRPr="00C71AD6">
        <w:rPr>
          <w:rStyle w:val="PageNumber"/>
          <w:rFonts w:asciiTheme="majorBidi" w:hAnsiTheme="majorBidi" w:cstheme="majorBidi"/>
          <w:b/>
          <w:bCs/>
          <w:sz w:val="24"/>
          <w:szCs w:val="24"/>
        </w:rPr>
        <w:t>Lindbohm</w:t>
      </w:r>
      <w:proofErr w:type="spellEnd"/>
      <w:r w:rsidRPr="00C71AD6">
        <w:rPr>
          <w:rStyle w:val="PageNumber"/>
          <w:rFonts w:asciiTheme="majorBidi" w:hAnsiTheme="majorBidi" w:cstheme="majorBidi"/>
          <w:b/>
          <w:bCs/>
          <w:sz w:val="24"/>
          <w:szCs w:val="24"/>
        </w:rPr>
        <w:t xml:space="preserve"> </w:t>
      </w:r>
      <w:r w:rsidRPr="00C71AD6">
        <w:rPr>
          <w:rStyle w:val="PageNumber"/>
          <w:rFonts w:asciiTheme="majorBidi" w:hAnsiTheme="majorBidi" w:cstheme="majorBidi"/>
          <w:b/>
          <w:bCs/>
          <w:i/>
          <w:iCs/>
          <w:sz w:val="24"/>
          <w:szCs w:val="24"/>
        </w:rPr>
        <w:t>et al.,</w:t>
      </w:r>
      <w:r w:rsidRPr="00C71AD6">
        <w:rPr>
          <w:rStyle w:val="PageNumber"/>
          <w:rFonts w:asciiTheme="majorBidi" w:hAnsiTheme="majorBidi" w:cstheme="majorBidi"/>
          <w:b/>
          <w:bCs/>
          <w:sz w:val="24"/>
          <w:szCs w:val="24"/>
        </w:rPr>
        <w:t xml:space="preserve"> 1990 and ATSDR, 2006&amp; 2008) </w:t>
      </w:r>
      <w:r w:rsidRPr="00C71AD6">
        <w:rPr>
          <w:rStyle w:val="PageNumber"/>
          <w:rFonts w:asciiTheme="majorBidi" w:hAnsiTheme="majorBidi" w:cstheme="majorBidi"/>
          <w:sz w:val="24"/>
          <w:szCs w:val="24"/>
        </w:rPr>
        <w:t>they reported that exposure to TCE has</w:t>
      </w:r>
      <w:r w:rsidRPr="00C71AD6">
        <w:rPr>
          <w:rStyle w:val="PageNumber"/>
          <w:rFonts w:asciiTheme="majorBidi" w:hAnsiTheme="majorBidi" w:cstheme="majorBidi"/>
          <w:b/>
          <w:bCs/>
          <w:sz w:val="24"/>
          <w:szCs w:val="24"/>
        </w:rPr>
        <w:t xml:space="preserve"> </w:t>
      </w:r>
      <w:r w:rsidRPr="00C71AD6">
        <w:rPr>
          <w:rStyle w:val="PageNumber"/>
          <w:rFonts w:asciiTheme="majorBidi" w:hAnsiTheme="majorBidi" w:cstheme="majorBidi"/>
          <w:sz w:val="24"/>
          <w:szCs w:val="24"/>
        </w:rPr>
        <w:t>no risk of spontaneous abortion after paternal exposure.</w:t>
      </w:r>
    </w:p>
    <w:p w:rsidR="00C71AD6" w:rsidRPr="00C71AD6" w:rsidRDefault="00C71AD6" w:rsidP="005E3D90">
      <w:pPr>
        <w:autoSpaceDE w:val="0"/>
        <w:autoSpaceDN w:val="0"/>
        <w:bidi w:val="0"/>
        <w:adjustRightInd w:val="0"/>
        <w:spacing w:after="0" w:line="360" w:lineRule="auto"/>
        <w:ind w:firstLine="720"/>
        <w:jc w:val="both"/>
        <w:rPr>
          <w:rFonts w:asciiTheme="majorBidi" w:hAnsiTheme="majorBidi" w:cstheme="majorBidi"/>
          <w:sz w:val="24"/>
          <w:szCs w:val="24"/>
        </w:rPr>
      </w:pPr>
      <w:r w:rsidRPr="00C71AD6">
        <w:rPr>
          <w:rFonts w:asciiTheme="majorBidi" w:hAnsiTheme="majorBidi" w:cstheme="majorBidi"/>
          <w:sz w:val="24"/>
          <w:szCs w:val="24"/>
        </w:rPr>
        <w:t xml:space="preserve">In human studies of prenatal TCE exposure, increased risk of spontaneous abortion was observed in some studies </w:t>
      </w:r>
      <w:r w:rsidRPr="00C71AD6">
        <w:rPr>
          <w:rFonts w:asciiTheme="majorBidi" w:hAnsiTheme="majorBidi" w:cstheme="majorBidi"/>
          <w:b/>
          <w:bCs/>
          <w:sz w:val="24"/>
          <w:szCs w:val="24"/>
        </w:rPr>
        <w:t xml:space="preserve">(Windham </w:t>
      </w:r>
      <w:r w:rsidRPr="00C71AD6">
        <w:rPr>
          <w:rFonts w:asciiTheme="majorBidi" w:hAnsiTheme="majorBidi" w:cstheme="majorBidi"/>
          <w:b/>
          <w:bCs/>
          <w:i/>
          <w:iCs/>
          <w:sz w:val="24"/>
          <w:szCs w:val="24"/>
        </w:rPr>
        <w:t>et al.,</w:t>
      </w:r>
      <w:r w:rsidRPr="00C71AD6">
        <w:rPr>
          <w:rFonts w:asciiTheme="majorBidi" w:hAnsiTheme="majorBidi" w:cstheme="majorBidi"/>
          <w:b/>
          <w:bCs/>
          <w:sz w:val="24"/>
          <w:szCs w:val="24"/>
        </w:rPr>
        <w:t xml:space="preserve"> 1991; </w:t>
      </w:r>
      <w:proofErr w:type="spellStart"/>
      <w:r w:rsidRPr="00C71AD6">
        <w:rPr>
          <w:rFonts w:asciiTheme="majorBidi" w:hAnsiTheme="majorBidi" w:cstheme="majorBidi"/>
          <w:b/>
          <w:bCs/>
          <w:sz w:val="24"/>
          <w:szCs w:val="24"/>
        </w:rPr>
        <w:t>Taskinen</w:t>
      </w:r>
      <w:proofErr w:type="spellEnd"/>
      <w:r w:rsidRPr="00C71AD6">
        <w:rPr>
          <w:rFonts w:asciiTheme="majorBidi" w:hAnsiTheme="majorBidi" w:cstheme="majorBidi"/>
          <w:b/>
          <w:bCs/>
          <w:sz w:val="24"/>
          <w:szCs w:val="24"/>
        </w:rPr>
        <w:t xml:space="preserve"> </w:t>
      </w:r>
      <w:r w:rsidRPr="00C71AD6">
        <w:rPr>
          <w:rFonts w:asciiTheme="majorBidi" w:hAnsiTheme="majorBidi" w:cstheme="majorBidi"/>
          <w:b/>
          <w:bCs/>
          <w:i/>
          <w:iCs/>
          <w:sz w:val="24"/>
          <w:szCs w:val="24"/>
        </w:rPr>
        <w:t>et al.,</w:t>
      </w:r>
      <w:r w:rsidRPr="00C71AD6">
        <w:rPr>
          <w:rFonts w:asciiTheme="majorBidi" w:hAnsiTheme="majorBidi" w:cstheme="majorBidi"/>
          <w:b/>
          <w:bCs/>
          <w:sz w:val="24"/>
          <w:szCs w:val="24"/>
        </w:rPr>
        <w:t xml:space="preserve"> 1994 and ATSDR, 2001)</w:t>
      </w:r>
      <w:r w:rsidRPr="00C71AD6">
        <w:rPr>
          <w:rFonts w:asciiTheme="majorBidi" w:hAnsiTheme="majorBidi" w:cstheme="majorBidi"/>
          <w:sz w:val="24"/>
          <w:szCs w:val="24"/>
        </w:rPr>
        <w:t xml:space="preserve">, but not in others </w:t>
      </w:r>
      <w:r w:rsidRPr="00C71AD6">
        <w:rPr>
          <w:rFonts w:asciiTheme="majorBidi" w:hAnsiTheme="majorBidi" w:cstheme="majorBidi"/>
          <w:b/>
          <w:bCs/>
          <w:sz w:val="24"/>
          <w:szCs w:val="24"/>
        </w:rPr>
        <w:t>(</w:t>
      </w:r>
      <w:proofErr w:type="spellStart"/>
      <w:r w:rsidRPr="00C71AD6">
        <w:rPr>
          <w:rFonts w:asciiTheme="majorBidi" w:hAnsiTheme="majorBidi" w:cstheme="majorBidi"/>
          <w:b/>
          <w:bCs/>
          <w:sz w:val="24"/>
          <w:szCs w:val="24"/>
        </w:rPr>
        <w:t>Lagakos</w:t>
      </w:r>
      <w:proofErr w:type="spellEnd"/>
      <w:r w:rsidRPr="00C71AD6">
        <w:rPr>
          <w:rFonts w:asciiTheme="majorBidi" w:hAnsiTheme="majorBidi" w:cstheme="majorBidi"/>
          <w:b/>
          <w:bCs/>
          <w:sz w:val="24"/>
          <w:szCs w:val="24"/>
        </w:rPr>
        <w:t xml:space="preserve"> </w:t>
      </w:r>
      <w:r w:rsidRPr="00C71AD6">
        <w:rPr>
          <w:rFonts w:asciiTheme="majorBidi" w:hAnsiTheme="majorBidi" w:cstheme="majorBidi"/>
          <w:b/>
          <w:bCs/>
          <w:i/>
          <w:iCs/>
          <w:sz w:val="24"/>
          <w:szCs w:val="24"/>
        </w:rPr>
        <w:t>et al.,</w:t>
      </w:r>
      <w:r w:rsidRPr="00C71AD6">
        <w:rPr>
          <w:rFonts w:asciiTheme="majorBidi" w:hAnsiTheme="majorBidi" w:cstheme="majorBidi"/>
          <w:b/>
          <w:bCs/>
          <w:sz w:val="24"/>
          <w:szCs w:val="24"/>
        </w:rPr>
        <w:t xml:space="preserve"> 1986; </w:t>
      </w:r>
      <w:proofErr w:type="spellStart"/>
      <w:r w:rsidRPr="00C71AD6">
        <w:rPr>
          <w:rFonts w:asciiTheme="majorBidi" w:hAnsiTheme="majorBidi" w:cstheme="majorBidi"/>
          <w:b/>
          <w:bCs/>
          <w:sz w:val="24"/>
          <w:szCs w:val="24"/>
        </w:rPr>
        <w:t>Taskinen</w:t>
      </w:r>
      <w:proofErr w:type="spellEnd"/>
      <w:r w:rsidRPr="00C71AD6">
        <w:rPr>
          <w:rFonts w:asciiTheme="majorBidi" w:hAnsiTheme="majorBidi" w:cstheme="majorBidi"/>
          <w:b/>
          <w:bCs/>
          <w:sz w:val="24"/>
          <w:szCs w:val="24"/>
        </w:rPr>
        <w:t xml:space="preserve"> </w:t>
      </w:r>
      <w:r w:rsidRPr="00C71AD6">
        <w:rPr>
          <w:rFonts w:asciiTheme="majorBidi" w:hAnsiTheme="majorBidi" w:cstheme="majorBidi"/>
          <w:b/>
          <w:bCs/>
          <w:i/>
          <w:iCs/>
          <w:sz w:val="24"/>
          <w:szCs w:val="24"/>
        </w:rPr>
        <w:t>et al.,</w:t>
      </w:r>
      <w:r w:rsidRPr="00C71AD6">
        <w:rPr>
          <w:rFonts w:asciiTheme="majorBidi" w:hAnsiTheme="majorBidi" w:cstheme="majorBidi"/>
          <w:b/>
          <w:bCs/>
          <w:sz w:val="24"/>
          <w:szCs w:val="24"/>
        </w:rPr>
        <w:t xml:space="preserve"> 1989; Goldberg </w:t>
      </w:r>
      <w:r w:rsidRPr="00C71AD6">
        <w:rPr>
          <w:rFonts w:asciiTheme="majorBidi" w:hAnsiTheme="majorBidi" w:cstheme="majorBidi"/>
          <w:b/>
          <w:bCs/>
          <w:i/>
          <w:iCs/>
          <w:sz w:val="24"/>
          <w:szCs w:val="24"/>
        </w:rPr>
        <w:t>et al.,</w:t>
      </w:r>
      <w:r w:rsidRPr="00C71AD6">
        <w:rPr>
          <w:rFonts w:asciiTheme="majorBidi" w:hAnsiTheme="majorBidi" w:cstheme="majorBidi"/>
          <w:b/>
          <w:bCs/>
          <w:sz w:val="24"/>
          <w:szCs w:val="24"/>
        </w:rPr>
        <w:t xml:space="preserve"> 1990; </w:t>
      </w:r>
      <w:proofErr w:type="spellStart"/>
      <w:r w:rsidRPr="00C71AD6">
        <w:rPr>
          <w:rFonts w:asciiTheme="majorBidi" w:hAnsiTheme="majorBidi" w:cstheme="majorBidi"/>
          <w:b/>
          <w:bCs/>
          <w:sz w:val="24"/>
          <w:szCs w:val="24"/>
        </w:rPr>
        <w:t>Lindbohm</w:t>
      </w:r>
      <w:proofErr w:type="spellEnd"/>
      <w:r w:rsidRPr="00C71AD6">
        <w:rPr>
          <w:rFonts w:asciiTheme="majorBidi" w:hAnsiTheme="majorBidi" w:cstheme="majorBidi"/>
          <w:b/>
          <w:bCs/>
          <w:sz w:val="24"/>
          <w:szCs w:val="24"/>
        </w:rPr>
        <w:t xml:space="preserve"> </w:t>
      </w:r>
      <w:r w:rsidRPr="00C71AD6">
        <w:rPr>
          <w:rFonts w:asciiTheme="majorBidi" w:hAnsiTheme="majorBidi" w:cstheme="majorBidi"/>
          <w:b/>
          <w:bCs/>
          <w:i/>
          <w:iCs/>
          <w:sz w:val="24"/>
          <w:szCs w:val="24"/>
        </w:rPr>
        <w:t>et al.,</w:t>
      </w:r>
      <w:r w:rsidRPr="00C71AD6">
        <w:rPr>
          <w:rFonts w:asciiTheme="majorBidi" w:hAnsiTheme="majorBidi" w:cstheme="majorBidi"/>
          <w:b/>
          <w:bCs/>
          <w:sz w:val="24"/>
          <w:szCs w:val="24"/>
        </w:rPr>
        <w:t xml:space="preserve"> 1990 and ATSDR, 2008)</w:t>
      </w:r>
      <w:r w:rsidRPr="00C71AD6">
        <w:rPr>
          <w:rFonts w:asciiTheme="majorBidi" w:hAnsiTheme="majorBidi" w:cstheme="majorBidi"/>
          <w:sz w:val="24"/>
          <w:szCs w:val="24"/>
        </w:rPr>
        <w:t xml:space="preserve">. In addition, </w:t>
      </w:r>
      <w:proofErr w:type="spellStart"/>
      <w:r w:rsidRPr="00C71AD6">
        <w:rPr>
          <w:rFonts w:asciiTheme="majorBidi" w:hAnsiTheme="majorBidi" w:cstheme="majorBidi"/>
          <w:sz w:val="24"/>
          <w:szCs w:val="24"/>
        </w:rPr>
        <w:t>perinatal</w:t>
      </w:r>
      <w:proofErr w:type="spellEnd"/>
      <w:r w:rsidRPr="00C71AD6">
        <w:rPr>
          <w:rFonts w:asciiTheme="majorBidi" w:hAnsiTheme="majorBidi" w:cstheme="majorBidi"/>
          <w:sz w:val="24"/>
          <w:szCs w:val="24"/>
        </w:rPr>
        <w:t xml:space="preserve"> deaths were observed after 1970, but not before 1970 (</w:t>
      </w:r>
      <w:proofErr w:type="spellStart"/>
      <w:r w:rsidRPr="00C71AD6">
        <w:rPr>
          <w:rFonts w:asciiTheme="majorBidi" w:hAnsiTheme="majorBidi" w:cstheme="majorBidi"/>
          <w:sz w:val="24"/>
          <w:szCs w:val="24"/>
        </w:rPr>
        <w:t>Lagakos</w:t>
      </w:r>
      <w:proofErr w:type="spellEnd"/>
      <w:r w:rsidRPr="00C71AD6">
        <w:rPr>
          <w:rFonts w:asciiTheme="majorBidi" w:hAnsiTheme="majorBidi" w:cstheme="majorBidi"/>
          <w:sz w:val="24"/>
          <w:szCs w:val="24"/>
        </w:rPr>
        <w:t xml:space="preserve"> et al., 1986). In rodent studies that examined offspring viability and survival, there was an indication that TCE exposure may have resulted in increased pre-and/or </w:t>
      </w:r>
      <w:proofErr w:type="spellStart"/>
      <w:r w:rsidRPr="00C71AD6">
        <w:rPr>
          <w:rFonts w:asciiTheme="majorBidi" w:hAnsiTheme="majorBidi" w:cstheme="majorBidi"/>
          <w:sz w:val="24"/>
          <w:szCs w:val="24"/>
        </w:rPr>
        <w:t>postimplantation</w:t>
      </w:r>
      <w:proofErr w:type="spellEnd"/>
      <w:r w:rsidRPr="00C71AD6">
        <w:rPr>
          <w:rFonts w:asciiTheme="majorBidi" w:hAnsiTheme="majorBidi" w:cstheme="majorBidi"/>
          <w:sz w:val="24"/>
          <w:szCs w:val="24"/>
        </w:rPr>
        <w:t xml:space="preserve"> loss </w:t>
      </w:r>
      <w:r w:rsidRPr="00C71AD6">
        <w:rPr>
          <w:rFonts w:asciiTheme="majorBidi" w:hAnsiTheme="majorBidi" w:cstheme="majorBidi"/>
          <w:b/>
          <w:bCs/>
          <w:sz w:val="24"/>
          <w:szCs w:val="24"/>
        </w:rPr>
        <w:t xml:space="preserve">(Healy </w:t>
      </w:r>
      <w:r w:rsidRPr="00C71AD6">
        <w:rPr>
          <w:rFonts w:asciiTheme="majorBidi" w:hAnsiTheme="majorBidi" w:cstheme="majorBidi"/>
          <w:b/>
          <w:bCs/>
          <w:i/>
          <w:iCs/>
          <w:sz w:val="24"/>
          <w:szCs w:val="24"/>
        </w:rPr>
        <w:t>et al.,</w:t>
      </w:r>
      <w:r w:rsidRPr="00C71AD6">
        <w:rPr>
          <w:rFonts w:asciiTheme="majorBidi" w:hAnsiTheme="majorBidi" w:cstheme="majorBidi"/>
          <w:b/>
          <w:bCs/>
          <w:sz w:val="24"/>
          <w:szCs w:val="24"/>
        </w:rPr>
        <w:t xml:space="preserve"> 1982; </w:t>
      </w:r>
      <w:proofErr w:type="spellStart"/>
      <w:r w:rsidRPr="00C71AD6">
        <w:rPr>
          <w:rFonts w:asciiTheme="majorBidi" w:hAnsiTheme="majorBidi" w:cstheme="majorBidi"/>
          <w:b/>
          <w:bCs/>
          <w:sz w:val="24"/>
          <w:szCs w:val="24"/>
        </w:rPr>
        <w:t>Narotsky</w:t>
      </w:r>
      <w:proofErr w:type="spellEnd"/>
      <w:r w:rsidRPr="00C71AD6">
        <w:rPr>
          <w:rFonts w:asciiTheme="majorBidi" w:hAnsiTheme="majorBidi" w:cstheme="majorBidi"/>
          <w:b/>
          <w:bCs/>
          <w:sz w:val="24"/>
          <w:szCs w:val="24"/>
        </w:rPr>
        <w:t xml:space="preserve"> &amp; </w:t>
      </w:r>
      <w:proofErr w:type="spellStart"/>
      <w:r w:rsidRPr="00C71AD6">
        <w:rPr>
          <w:rFonts w:asciiTheme="majorBidi" w:hAnsiTheme="majorBidi" w:cstheme="majorBidi"/>
          <w:b/>
          <w:bCs/>
          <w:sz w:val="24"/>
          <w:szCs w:val="24"/>
        </w:rPr>
        <w:t>Kavlock</w:t>
      </w:r>
      <w:proofErr w:type="spellEnd"/>
      <w:r w:rsidRPr="00C71AD6">
        <w:rPr>
          <w:rFonts w:asciiTheme="majorBidi" w:hAnsiTheme="majorBidi" w:cstheme="majorBidi"/>
          <w:b/>
          <w:bCs/>
          <w:sz w:val="24"/>
          <w:szCs w:val="24"/>
        </w:rPr>
        <w:t xml:space="preserve">, 1995 and Kumar </w:t>
      </w:r>
      <w:r w:rsidRPr="00C71AD6">
        <w:rPr>
          <w:rFonts w:asciiTheme="majorBidi" w:hAnsiTheme="majorBidi" w:cstheme="majorBidi"/>
          <w:b/>
          <w:bCs/>
          <w:i/>
          <w:iCs/>
          <w:sz w:val="24"/>
          <w:szCs w:val="24"/>
        </w:rPr>
        <w:t>et al.,</w:t>
      </w:r>
      <w:r w:rsidRPr="00C71AD6">
        <w:rPr>
          <w:rFonts w:asciiTheme="majorBidi" w:hAnsiTheme="majorBidi" w:cstheme="majorBidi"/>
          <w:b/>
          <w:bCs/>
          <w:sz w:val="24"/>
          <w:szCs w:val="24"/>
        </w:rPr>
        <w:t xml:space="preserve"> 2000),</w:t>
      </w:r>
      <w:r w:rsidRPr="00C71AD6">
        <w:rPr>
          <w:rFonts w:asciiTheme="majorBidi" w:hAnsiTheme="majorBidi" w:cstheme="majorBidi"/>
          <w:sz w:val="24"/>
          <w:szCs w:val="24"/>
        </w:rPr>
        <w:t xml:space="preserve"> and in reductions in live pups born as well as in postnatal and </w:t>
      </w:r>
      <w:proofErr w:type="spellStart"/>
      <w:r w:rsidRPr="00C71AD6">
        <w:rPr>
          <w:rFonts w:asciiTheme="majorBidi" w:hAnsiTheme="majorBidi" w:cstheme="majorBidi"/>
          <w:sz w:val="24"/>
          <w:szCs w:val="24"/>
        </w:rPr>
        <w:t>postweaning</w:t>
      </w:r>
      <w:proofErr w:type="spellEnd"/>
      <w:r w:rsidRPr="00C71AD6">
        <w:rPr>
          <w:rFonts w:asciiTheme="majorBidi" w:hAnsiTheme="majorBidi" w:cstheme="majorBidi"/>
          <w:sz w:val="24"/>
          <w:szCs w:val="24"/>
        </w:rPr>
        <w:t xml:space="preserve"> survival </w:t>
      </w:r>
      <w:r w:rsidRPr="00C71AD6">
        <w:rPr>
          <w:rFonts w:asciiTheme="majorBidi" w:hAnsiTheme="majorBidi" w:cstheme="majorBidi"/>
          <w:b/>
          <w:bCs/>
          <w:sz w:val="24"/>
          <w:szCs w:val="24"/>
        </w:rPr>
        <w:t xml:space="preserve">(George </w:t>
      </w:r>
      <w:r w:rsidRPr="00C71AD6">
        <w:rPr>
          <w:rFonts w:asciiTheme="majorBidi" w:hAnsiTheme="majorBidi" w:cstheme="majorBidi"/>
          <w:b/>
          <w:bCs/>
          <w:i/>
          <w:iCs/>
          <w:sz w:val="24"/>
          <w:szCs w:val="24"/>
        </w:rPr>
        <w:t>et al.,</w:t>
      </w:r>
      <w:r w:rsidRPr="00C71AD6">
        <w:rPr>
          <w:rFonts w:asciiTheme="majorBidi" w:hAnsiTheme="majorBidi" w:cstheme="majorBidi"/>
          <w:b/>
          <w:bCs/>
          <w:sz w:val="24"/>
          <w:szCs w:val="24"/>
        </w:rPr>
        <w:t xml:space="preserve"> 1985 &amp; 1986)</w:t>
      </w:r>
      <w:r w:rsidRPr="00C71AD6">
        <w:rPr>
          <w:rFonts w:asciiTheme="majorBidi" w:hAnsiTheme="majorBidi" w:cstheme="majorBidi"/>
          <w:sz w:val="24"/>
          <w:szCs w:val="24"/>
        </w:rPr>
        <w:t>.</w:t>
      </w:r>
    </w:p>
    <w:p w:rsidR="00C71AD6" w:rsidRPr="00C71AD6" w:rsidRDefault="00C71AD6" w:rsidP="005E3D90">
      <w:pPr>
        <w:autoSpaceDE w:val="0"/>
        <w:autoSpaceDN w:val="0"/>
        <w:bidi w:val="0"/>
        <w:adjustRightInd w:val="0"/>
        <w:spacing w:after="0" w:line="360" w:lineRule="auto"/>
        <w:ind w:firstLine="709"/>
        <w:jc w:val="lowKashida"/>
        <w:rPr>
          <w:rFonts w:asciiTheme="majorBidi" w:hAnsiTheme="majorBidi" w:cstheme="majorBidi"/>
          <w:sz w:val="24"/>
          <w:szCs w:val="24"/>
        </w:rPr>
      </w:pPr>
      <w:r w:rsidRPr="00C71AD6">
        <w:rPr>
          <w:rFonts w:asciiTheme="majorBidi" w:hAnsiTheme="majorBidi" w:cstheme="majorBidi"/>
          <w:sz w:val="24"/>
          <w:szCs w:val="24"/>
        </w:rPr>
        <w:lastRenderedPageBreak/>
        <w:t>In the present investigation, embryos at the 6</w:t>
      </w:r>
      <w:r w:rsidRPr="00C71AD6">
        <w:rPr>
          <w:rFonts w:asciiTheme="majorBidi" w:hAnsiTheme="majorBidi" w:cstheme="majorBidi"/>
          <w:sz w:val="24"/>
          <w:szCs w:val="24"/>
          <w:vertAlign w:val="superscript"/>
        </w:rPr>
        <w:t>th</w:t>
      </w:r>
      <w:r w:rsidRPr="00C71AD6">
        <w:rPr>
          <w:rFonts w:asciiTheme="majorBidi" w:hAnsiTheme="majorBidi" w:cstheme="majorBidi"/>
          <w:sz w:val="24"/>
          <w:szCs w:val="24"/>
        </w:rPr>
        <w:t xml:space="preserve"> day of pregnancy "129 hrs p.c." </w:t>
      </w:r>
      <w:proofErr w:type="spellStart"/>
      <w:r w:rsidRPr="00C71AD6">
        <w:rPr>
          <w:rFonts w:asciiTheme="majorBidi" w:hAnsiTheme="majorBidi" w:cstheme="majorBidi"/>
          <w:sz w:val="24"/>
          <w:szCs w:val="24"/>
        </w:rPr>
        <w:t>ectoplacental</w:t>
      </w:r>
      <w:proofErr w:type="spellEnd"/>
      <w:r w:rsidRPr="00C71AD6">
        <w:rPr>
          <w:rFonts w:asciiTheme="majorBidi" w:hAnsiTheme="majorBidi" w:cstheme="majorBidi"/>
          <w:sz w:val="24"/>
          <w:szCs w:val="24"/>
        </w:rPr>
        <w:t xml:space="preserve"> cone stage maternally treated with TCE show more or less delay in growth; as distal endoderm is not yet differentiated and degeneration of the uterine epithelial cells.</w:t>
      </w:r>
    </w:p>
    <w:p w:rsidR="00C71AD6" w:rsidRPr="00C71AD6" w:rsidRDefault="00C71AD6" w:rsidP="005E3D90">
      <w:pPr>
        <w:autoSpaceDE w:val="0"/>
        <w:autoSpaceDN w:val="0"/>
        <w:bidi w:val="0"/>
        <w:adjustRightInd w:val="0"/>
        <w:spacing w:after="0" w:line="360" w:lineRule="auto"/>
        <w:ind w:firstLine="709"/>
        <w:jc w:val="both"/>
        <w:rPr>
          <w:rFonts w:asciiTheme="majorBidi" w:hAnsiTheme="majorBidi" w:cstheme="majorBidi"/>
          <w:sz w:val="24"/>
          <w:szCs w:val="24"/>
        </w:rPr>
      </w:pPr>
      <w:r w:rsidRPr="00C71AD6">
        <w:rPr>
          <w:rFonts w:asciiTheme="majorBidi" w:hAnsiTheme="majorBidi" w:cstheme="majorBidi"/>
          <w:sz w:val="24"/>
          <w:szCs w:val="24"/>
        </w:rPr>
        <w:t>At the 8</w:t>
      </w:r>
      <w:r w:rsidRPr="00C71AD6">
        <w:rPr>
          <w:rFonts w:asciiTheme="majorBidi" w:hAnsiTheme="majorBidi" w:cstheme="majorBidi"/>
          <w:sz w:val="24"/>
          <w:szCs w:val="24"/>
          <w:vertAlign w:val="superscript"/>
        </w:rPr>
        <w:t>th</w:t>
      </w:r>
      <w:r w:rsidRPr="00C71AD6">
        <w:rPr>
          <w:rFonts w:asciiTheme="majorBidi" w:hAnsiTheme="majorBidi" w:cstheme="majorBidi"/>
          <w:sz w:val="24"/>
          <w:szCs w:val="24"/>
        </w:rPr>
        <w:t xml:space="preserve"> day of pregnancy "182 </w:t>
      </w:r>
      <w:proofErr w:type="spellStart"/>
      <w:r w:rsidRPr="00C71AD6">
        <w:rPr>
          <w:rFonts w:asciiTheme="majorBidi" w:hAnsiTheme="majorBidi" w:cstheme="majorBidi"/>
          <w:sz w:val="24"/>
          <w:szCs w:val="24"/>
        </w:rPr>
        <w:t>hrs.p.c</w:t>
      </w:r>
      <w:proofErr w:type="spellEnd"/>
      <w:r w:rsidRPr="00C71AD6">
        <w:rPr>
          <w:rFonts w:asciiTheme="majorBidi" w:hAnsiTheme="majorBidi" w:cstheme="majorBidi"/>
          <w:sz w:val="24"/>
          <w:szCs w:val="24"/>
        </w:rPr>
        <w:t xml:space="preserve">." embryo prober stage maternally treated with TCE showed a considerable retardation in their growth. </w:t>
      </w:r>
      <w:proofErr w:type="gramStart"/>
      <w:r w:rsidRPr="00C71AD6">
        <w:rPr>
          <w:rFonts w:asciiTheme="majorBidi" w:hAnsiTheme="majorBidi" w:cstheme="majorBidi"/>
          <w:sz w:val="24"/>
          <w:szCs w:val="24"/>
        </w:rPr>
        <w:t xml:space="preserve">Whereas, </w:t>
      </w:r>
      <w:proofErr w:type="spellStart"/>
      <w:r w:rsidRPr="00C71AD6">
        <w:rPr>
          <w:rFonts w:asciiTheme="majorBidi" w:hAnsiTheme="majorBidi" w:cstheme="majorBidi"/>
          <w:sz w:val="24"/>
          <w:szCs w:val="24"/>
        </w:rPr>
        <w:t>ectoplacental</w:t>
      </w:r>
      <w:proofErr w:type="spellEnd"/>
      <w:r w:rsidRPr="00C71AD6">
        <w:rPr>
          <w:rFonts w:asciiTheme="majorBidi" w:hAnsiTheme="majorBidi" w:cstheme="majorBidi"/>
          <w:sz w:val="24"/>
          <w:szCs w:val="24"/>
        </w:rPr>
        <w:t xml:space="preserve"> cone is incomplete.</w:t>
      </w:r>
      <w:proofErr w:type="gramEnd"/>
      <w:r w:rsidRPr="00C71AD6">
        <w:rPr>
          <w:rFonts w:asciiTheme="majorBidi" w:hAnsiTheme="majorBidi" w:cstheme="majorBidi"/>
          <w:sz w:val="24"/>
          <w:szCs w:val="24"/>
        </w:rPr>
        <w:t xml:space="preserve"> As well as, the endoderm was not differentiated into distal and proximal endoderm. The degenerated </w:t>
      </w:r>
      <w:proofErr w:type="spellStart"/>
      <w:r w:rsidRPr="00C71AD6">
        <w:rPr>
          <w:rFonts w:asciiTheme="majorBidi" w:hAnsiTheme="majorBidi" w:cstheme="majorBidi"/>
          <w:sz w:val="24"/>
          <w:szCs w:val="24"/>
        </w:rPr>
        <w:t>decidua</w:t>
      </w:r>
      <w:proofErr w:type="spellEnd"/>
      <w:r w:rsidRPr="00C71AD6">
        <w:rPr>
          <w:rFonts w:asciiTheme="majorBidi" w:hAnsiTheme="majorBidi" w:cstheme="majorBidi"/>
          <w:sz w:val="24"/>
          <w:szCs w:val="24"/>
        </w:rPr>
        <w:t xml:space="preserve"> is represented by vacuolated cytoplasm, </w:t>
      </w:r>
      <w:proofErr w:type="spellStart"/>
      <w:r w:rsidRPr="00C71AD6">
        <w:rPr>
          <w:rFonts w:asciiTheme="majorBidi" w:hAnsiTheme="majorBidi" w:cstheme="majorBidi"/>
          <w:sz w:val="24"/>
          <w:szCs w:val="24"/>
        </w:rPr>
        <w:t>pyknotic</w:t>
      </w:r>
      <w:proofErr w:type="spellEnd"/>
      <w:r w:rsidRPr="00C71AD6">
        <w:rPr>
          <w:rFonts w:asciiTheme="majorBidi" w:hAnsiTheme="majorBidi" w:cstheme="majorBidi"/>
          <w:sz w:val="24"/>
          <w:szCs w:val="24"/>
        </w:rPr>
        <w:t xml:space="preserve"> nucleus and </w:t>
      </w:r>
      <w:proofErr w:type="spellStart"/>
      <w:r w:rsidRPr="00C71AD6">
        <w:rPr>
          <w:rFonts w:asciiTheme="majorBidi" w:hAnsiTheme="majorBidi" w:cstheme="majorBidi"/>
          <w:sz w:val="24"/>
          <w:szCs w:val="24"/>
        </w:rPr>
        <w:t>haemorhage</w:t>
      </w:r>
      <w:proofErr w:type="spellEnd"/>
      <w:r w:rsidRPr="00C71AD6">
        <w:rPr>
          <w:rFonts w:asciiTheme="majorBidi" w:hAnsiTheme="majorBidi" w:cstheme="majorBidi"/>
          <w:sz w:val="24"/>
          <w:szCs w:val="24"/>
        </w:rPr>
        <w:t>.</w:t>
      </w:r>
    </w:p>
    <w:p w:rsidR="00C71AD6" w:rsidRPr="00C71AD6" w:rsidRDefault="00C71AD6" w:rsidP="005E3D90">
      <w:pPr>
        <w:pStyle w:val="Default"/>
        <w:spacing w:line="360" w:lineRule="auto"/>
        <w:ind w:firstLine="851"/>
        <w:jc w:val="both"/>
        <w:rPr>
          <w:rFonts w:asciiTheme="majorBidi" w:hAnsiTheme="majorBidi" w:cstheme="majorBidi"/>
          <w:color w:val="auto"/>
        </w:rPr>
      </w:pPr>
    </w:p>
    <w:p w:rsidR="008A5B51" w:rsidRPr="00C71AD6" w:rsidRDefault="008A5B51" w:rsidP="005E3D90">
      <w:pPr>
        <w:pStyle w:val="Default"/>
        <w:spacing w:line="360" w:lineRule="auto"/>
        <w:ind w:firstLine="851"/>
        <w:jc w:val="both"/>
        <w:rPr>
          <w:rFonts w:asciiTheme="majorBidi" w:hAnsiTheme="majorBidi" w:cstheme="majorBidi"/>
          <w:color w:val="auto"/>
        </w:rPr>
      </w:pPr>
      <w:r w:rsidRPr="00C71AD6">
        <w:rPr>
          <w:rFonts w:asciiTheme="majorBidi" w:hAnsiTheme="majorBidi" w:cstheme="majorBidi"/>
          <w:color w:val="auto"/>
        </w:rPr>
        <w:t xml:space="preserve">       </w:t>
      </w:r>
    </w:p>
    <w:p w:rsidR="004C6F43" w:rsidRPr="00C71AD6" w:rsidRDefault="004C6F43" w:rsidP="005E3D90">
      <w:pPr>
        <w:bidi w:val="0"/>
        <w:spacing w:after="0" w:line="360" w:lineRule="auto"/>
        <w:ind w:left="-74"/>
        <w:jc w:val="both"/>
        <w:rPr>
          <w:rStyle w:val="PageNumber"/>
          <w:rFonts w:asciiTheme="majorBidi" w:hAnsiTheme="majorBidi" w:cstheme="majorBidi"/>
          <w:sz w:val="24"/>
          <w:szCs w:val="24"/>
        </w:rPr>
      </w:pPr>
      <w:r w:rsidRPr="00C71AD6">
        <w:rPr>
          <w:rStyle w:val="PageNumber"/>
          <w:rFonts w:asciiTheme="majorBidi" w:hAnsiTheme="majorBidi" w:cstheme="majorBidi"/>
          <w:sz w:val="24"/>
          <w:szCs w:val="24"/>
        </w:rPr>
        <w:t xml:space="preserve">   </w:t>
      </w:r>
    </w:p>
    <w:p w:rsidR="004C6F43" w:rsidRPr="00C71AD6" w:rsidRDefault="004C6F43" w:rsidP="005E3D90">
      <w:pPr>
        <w:bidi w:val="0"/>
        <w:spacing w:after="0" w:line="360" w:lineRule="auto"/>
        <w:ind w:left="-74"/>
        <w:jc w:val="both"/>
        <w:rPr>
          <w:rStyle w:val="PageNumber"/>
          <w:rFonts w:asciiTheme="majorBidi" w:hAnsiTheme="majorBidi" w:cstheme="majorBidi"/>
          <w:sz w:val="24"/>
          <w:szCs w:val="24"/>
        </w:rPr>
      </w:pPr>
    </w:p>
    <w:p w:rsidR="004C6F43" w:rsidRPr="00C71AD6" w:rsidRDefault="004C6F43" w:rsidP="005E3D90">
      <w:pPr>
        <w:bidi w:val="0"/>
        <w:spacing w:after="0" w:line="360" w:lineRule="auto"/>
        <w:ind w:left="-74"/>
        <w:jc w:val="both"/>
        <w:rPr>
          <w:rStyle w:val="PageNumber"/>
          <w:rFonts w:asciiTheme="majorBidi" w:hAnsiTheme="majorBidi" w:cstheme="majorBidi"/>
          <w:sz w:val="24"/>
          <w:szCs w:val="24"/>
        </w:rPr>
      </w:pPr>
    </w:p>
    <w:sectPr w:rsidR="004C6F43" w:rsidRPr="00C71AD6" w:rsidSect="002A4F57">
      <w:footerReference w:type="default" r:id="rId12"/>
      <w:pgSz w:w="11906" w:h="16838"/>
      <w:pgMar w:top="1418" w:right="1418" w:bottom="1418" w:left="1418" w:header="709" w:footer="709" w:gutter="0"/>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C58" w:rsidRDefault="004A0C58" w:rsidP="004C6F43">
      <w:pPr>
        <w:spacing w:after="0" w:line="240" w:lineRule="auto"/>
      </w:pPr>
      <w:r>
        <w:separator/>
      </w:r>
    </w:p>
  </w:endnote>
  <w:endnote w:type="continuationSeparator" w:id="0">
    <w:p w:rsidR="004A0C58" w:rsidRDefault="004A0C58" w:rsidP="004C6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554709"/>
      <w:docPartObj>
        <w:docPartGallery w:val="Page Numbers (Bottom of Page)"/>
        <w:docPartUnique/>
      </w:docPartObj>
    </w:sdtPr>
    <w:sdtContent>
      <w:p w:rsidR="004C6F43" w:rsidRDefault="00AE75A4">
        <w:pPr>
          <w:pStyle w:val="Footer"/>
          <w:jc w:val="center"/>
        </w:pPr>
        <w:r w:rsidRPr="004C6F43">
          <w:rPr>
            <w:rFonts w:asciiTheme="majorBidi" w:hAnsiTheme="majorBidi" w:cstheme="majorBidi"/>
            <w:b/>
            <w:bCs/>
            <w:sz w:val="20"/>
            <w:szCs w:val="20"/>
          </w:rPr>
          <w:fldChar w:fldCharType="begin"/>
        </w:r>
        <w:r w:rsidR="004C6F43" w:rsidRPr="004C6F43">
          <w:rPr>
            <w:rFonts w:asciiTheme="majorBidi" w:hAnsiTheme="majorBidi" w:cstheme="majorBidi"/>
            <w:b/>
            <w:bCs/>
            <w:sz w:val="20"/>
            <w:szCs w:val="20"/>
          </w:rPr>
          <w:instrText xml:space="preserve"> PAGE   \* MERGEFORMAT </w:instrText>
        </w:r>
        <w:r w:rsidRPr="004C6F43">
          <w:rPr>
            <w:rFonts w:asciiTheme="majorBidi" w:hAnsiTheme="majorBidi" w:cstheme="majorBidi"/>
            <w:b/>
            <w:bCs/>
            <w:sz w:val="20"/>
            <w:szCs w:val="20"/>
          </w:rPr>
          <w:fldChar w:fldCharType="separate"/>
        </w:r>
        <w:r w:rsidR="00C56F1E">
          <w:rPr>
            <w:rFonts w:asciiTheme="majorBidi" w:hAnsiTheme="majorBidi" w:cstheme="majorBidi"/>
            <w:b/>
            <w:bCs/>
            <w:noProof/>
            <w:sz w:val="20"/>
            <w:szCs w:val="20"/>
            <w:rtl/>
          </w:rPr>
          <w:t>3</w:t>
        </w:r>
        <w:r w:rsidRPr="004C6F43">
          <w:rPr>
            <w:rFonts w:asciiTheme="majorBidi" w:hAnsiTheme="majorBidi" w:cstheme="majorBidi"/>
            <w:b/>
            <w:bCs/>
            <w:sz w:val="20"/>
            <w:szCs w:val="20"/>
          </w:rPr>
          <w:fldChar w:fldCharType="end"/>
        </w:r>
      </w:p>
    </w:sdtContent>
  </w:sdt>
  <w:p w:rsidR="004C6F43" w:rsidRDefault="004C6F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C58" w:rsidRDefault="004A0C58" w:rsidP="004C6F43">
      <w:pPr>
        <w:spacing w:after="0" w:line="240" w:lineRule="auto"/>
      </w:pPr>
      <w:r>
        <w:separator/>
      </w:r>
    </w:p>
  </w:footnote>
  <w:footnote w:type="continuationSeparator" w:id="0">
    <w:p w:rsidR="004A0C58" w:rsidRDefault="004A0C58" w:rsidP="004C6F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41C7B"/>
    <w:multiLevelType w:val="multilevel"/>
    <w:tmpl w:val="BF58279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333376FB"/>
    <w:multiLevelType w:val="multilevel"/>
    <w:tmpl w:val="53FAEF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3B1AB3"/>
    <w:rsid w:val="000052F5"/>
    <w:rsid w:val="00017423"/>
    <w:rsid w:val="00036ACB"/>
    <w:rsid w:val="00042F73"/>
    <w:rsid w:val="0006216D"/>
    <w:rsid w:val="000F542C"/>
    <w:rsid w:val="00132F2F"/>
    <w:rsid w:val="0017076E"/>
    <w:rsid w:val="001939C0"/>
    <w:rsid w:val="001B7889"/>
    <w:rsid w:val="002221A4"/>
    <w:rsid w:val="00240DC7"/>
    <w:rsid w:val="002A4F57"/>
    <w:rsid w:val="00343408"/>
    <w:rsid w:val="003B1AB3"/>
    <w:rsid w:val="003C0F1E"/>
    <w:rsid w:val="003E0A5E"/>
    <w:rsid w:val="0040530D"/>
    <w:rsid w:val="00413B66"/>
    <w:rsid w:val="00424881"/>
    <w:rsid w:val="004A0C58"/>
    <w:rsid w:val="004A636D"/>
    <w:rsid w:val="004C010F"/>
    <w:rsid w:val="004C6F43"/>
    <w:rsid w:val="004D4269"/>
    <w:rsid w:val="00520D4D"/>
    <w:rsid w:val="00557ED9"/>
    <w:rsid w:val="00561133"/>
    <w:rsid w:val="00566B99"/>
    <w:rsid w:val="00574CC5"/>
    <w:rsid w:val="005E3D90"/>
    <w:rsid w:val="006078BF"/>
    <w:rsid w:val="00617ACB"/>
    <w:rsid w:val="006705D1"/>
    <w:rsid w:val="006964B8"/>
    <w:rsid w:val="006B648D"/>
    <w:rsid w:val="006E291C"/>
    <w:rsid w:val="00765E09"/>
    <w:rsid w:val="007C0696"/>
    <w:rsid w:val="007C3010"/>
    <w:rsid w:val="00833E56"/>
    <w:rsid w:val="008A0503"/>
    <w:rsid w:val="008A5B51"/>
    <w:rsid w:val="008B3272"/>
    <w:rsid w:val="009022D3"/>
    <w:rsid w:val="00913453"/>
    <w:rsid w:val="00971D69"/>
    <w:rsid w:val="0097660E"/>
    <w:rsid w:val="00995601"/>
    <w:rsid w:val="009C7A9D"/>
    <w:rsid w:val="009E5C1C"/>
    <w:rsid w:val="00A100ED"/>
    <w:rsid w:val="00A32A96"/>
    <w:rsid w:val="00A52EB6"/>
    <w:rsid w:val="00A63278"/>
    <w:rsid w:val="00A70AF7"/>
    <w:rsid w:val="00A73462"/>
    <w:rsid w:val="00A86509"/>
    <w:rsid w:val="00A925F1"/>
    <w:rsid w:val="00AA33F1"/>
    <w:rsid w:val="00AB0379"/>
    <w:rsid w:val="00AC2850"/>
    <w:rsid w:val="00AE75A4"/>
    <w:rsid w:val="00AF1A80"/>
    <w:rsid w:val="00B14BC7"/>
    <w:rsid w:val="00B546BF"/>
    <w:rsid w:val="00B71D71"/>
    <w:rsid w:val="00BF6CD8"/>
    <w:rsid w:val="00C10E9A"/>
    <w:rsid w:val="00C45E68"/>
    <w:rsid w:val="00C56F1E"/>
    <w:rsid w:val="00C64A73"/>
    <w:rsid w:val="00C71AD6"/>
    <w:rsid w:val="00CA34E4"/>
    <w:rsid w:val="00CC3762"/>
    <w:rsid w:val="00CE7C8F"/>
    <w:rsid w:val="00D84752"/>
    <w:rsid w:val="00DA2BA2"/>
    <w:rsid w:val="00E212D8"/>
    <w:rsid w:val="00E71BE4"/>
    <w:rsid w:val="00E740B0"/>
    <w:rsid w:val="00EB5D2C"/>
    <w:rsid w:val="00F22B3E"/>
    <w:rsid w:val="00F250A3"/>
    <w:rsid w:val="00F271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B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33E56"/>
  </w:style>
  <w:style w:type="paragraph" w:styleId="ListParagraph">
    <w:name w:val="List Paragraph"/>
    <w:basedOn w:val="Normal"/>
    <w:uiPriority w:val="34"/>
    <w:qFormat/>
    <w:rsid w:val="00833E56"/>
    <w:pPr>
      <w:ind w:left="720"/>
      <w:contextualSpacing/>
    </w:pPr>
  </w:style>
  <w:style w:type="table" w:styleId="TableGrid">
    <w:name w:val="Table Grid"/>
    <w:basedOn w:val="TableNormal"/>
    <w:rsid w:val="00E740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2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850"/>
    <w:rPr>
      <w:rFonts w:ascii="Tahoma" w:hAnsi="Tahoma" w:cs="Tahoma"/>
      <w:sz w:val="16"/>
      <w:szCs w:val="16"/>
    </w:rPr>
  </w:style>
  <w:style w:type="paragraph" w:styleId="Header">
    <w:name w:val="header"/>
    <w:basedOn w:val="Normal"/>
    <w:link w:val="HeaderChar"/>
    <w:uiPriority w:val="99"/>
    <w:semiHidden/>
    <w:unhideWhenUsed/>
    <w:rsid w:val="004C6F4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C6F43"/>
  </w:style>
  <w:style w:type="paragraph" w:styleId="Footer">
    <w:name w:val="footer"/>
    <w:basedOn w:val="Normal"/>
    <w:link w:val="FooterChar"/>
    <w:uiPriority w:val="99"/>
    <w:unhideWhenUsed/>
    <w:rsid w:val="004C6F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6F43"/>
  </w:style>
  <w:style w:type="paragraph" w:customStyle="1" w:styleId="Default">
    <w:name w:val="Default"/>
    <w:rsid w:val="007C06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ighlight">
    <w:name w:val="highlight"/>
    <w:basedOn w:val="DefaultParagraphFont"/>
    <w:rsid w:val="004A63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excell\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xcell\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xcell\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excell\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EG"/>
  <c:chart>
    <c:autoTitleDeleted val="1"/>
    <c:view3D>
      <c:rotY val="340"/>
      <c:rAngAx val="1"/>
    </c:view3D>
    <c:floor>
      <c:spPr>
        <a:ln w="19050">
          <a:solidFill>
            <a:sysClr val="windowText" lastClr="000000"/>
          </a:solidFill>
        </a:ln>
      </c:spPr>
    </c:floor>
    <c:plotArea>
      <c:layout>
        <c:manualLayout>
          <c:layoutTarget val="inner"/>
          <c:xMode val="edge"/>
          <c:yMode val="edge"/>
          <c:x val="9.4605142938222794E-2"/>
          <c:y val="2.462540952587949E-2"/>
          <c:w val="0.84015640614655962"/>
          <c:h val="0.79571319223814463"/>
        </c:manualLayout>
      </c:layout>
      <c:bar3DChart>
        <c:barDir val="col"/>
        <c:grouping val="clustered"/>
        <c:ser>
          <c:idx val="0"/>
          <c:order val="0"/>
          <c:tx>
            <c:strRef>
              <c:f>Sheet1!$C$6</c:f>
              <c:strCache>
                <c:ptCount val="1"/>
                <c:pt idx="0">
                  <c:v>C</c:v>
                </c:pt>
              </c:strCache>
            </c:strRef>
          </c:tx>
          <c:cat>
            <c:strRef>
              <c:f>Sheet1!$A$7:$B$13</c:f>
              <c:strCache>
                <c:ptCount val="7"/>
                <c:pt idx="0">
                  <c:v> 1st day</c:v>
                </c:pt>
                <c:pt idx="1">
                  <c:v>1st week</c:v>
                </c:pt>
                <c:pt idx="2">
                  <c:v>2nd week</c:v>
                </c:pt>
                <c:pt idx="3">
                  <c:v>3rd week</c:v>
                </c:pt>
                <c:pt idx="4">
                  <c:v>6th day</c:v>
                </c:pt>
                <c:pt idx="5">
                  <c:v>12th day</c:v>
                </c:pt>
                <c:pt idx="6">
                  <c:v>18th day</c:v>
                </c:pt>
              </c:strCache>
            </c:strRef>
          </c:cat>
          <c:val>
            <c:numRef>
              <c:f>Sheet1!$C$7:$C$13</c:f>
              <c:numCache>
                <c:formatCode>General</c:formatCode>
                <c:ptCount val="7"/>
                <c:pt idx="0">
                  <c:v>32</c:v>
                </c:pt>
                <c:pt idx="1">
                  <c:v>32.6</c:v>
                </c:pt>
                <c:pt idx="2">
                  <c:v>33</c:v>
                </c:pt>
                <c:pt idx="3">
                  <c:v>33.9</c:v>
                </c:pt>
                <c:pt idx="4">
                  <c:v>35.9</c:v>
                </c:pt>
                <c:pt idx="5">
                  <c:v>39.6</c:v>
                </c:pt>
                <c:pt idx="6">
                  <c:v>42.1</c:v>
                </c:pt>
              </c:numCache>
            </c:numRef>
          </c:val>
        </c:ser>
        <c:ser>
          <c:idx val="1"/>
          <c:order val="1"/>
          <c:tx>
            <c:strRef>
              <c:f>Sheet1!$D$6</c:f>
              <c:strCache>
                <c:ptCount val="1"/>
                <c:pt idx="0">
                  <c:v>G1</c:v>
                </c:pt>
              </c:strCache>
            </c:strRef>
          </c:tx>
          <c:cat>
            <c:strRef>
              <c:f>Sheet1!$A$7:$B$13</c:f>
              <c:strCache>
                <c:ptCount val="7"/>
                <c:pt idx="0">
                  <c:v> 1st day</c:v>
                </c:pt>
                <c:pt idx="1">
                  <c:v>1st week</c:v>
                </c:pt>
                <c:pt idx="2">
                  <c:v>2nd week</c:v>
                </c:pt>
                <c:pt idx="3">
                  <c:v>3rd week</c:v>
                </c:pt>
                <c:pt idx="4">
                  <c:v>6th day</c:v>
                </c:pt>
                <c:pt idx="5">
                  <c:v>12th day</c:v>
                </c:pt>
                <c:pt idx="6">
                  <c:v>18th day</c:v>
                </c:pt>
              </c:strCache>
            </c:strRef>
          </c:cat>
          <c:val>
            <c:numRef>
              <c:f>Sheet1!$D$7:$D$13</c:f>
              <c:numCache>
                <c:formatCode>General</c:formatCode>
                <c:ptCount val="7"/>
                <c:pt idx="0">
                  <c:v>32</c:v>
                </c:pt>
                <c:pt idx="1">
                  <c:v>31.1</c:v>
                </c:pt>
                <c:pt idx="2">
                  <c:v>30.2</c:v>
                </c:pt>
                <c:pt idx="3">
                  <c:v>28.8</c:v>
                </c:pt>
                <c:pt idx="4">
                  <c:v>30.9</c:v>
                </c:pt>
                <c:pt idx="5">
                  <c:v>32.300000000000004</c:v>
                </c:pt>
                <c:pt idx="6">
                  <c:v>33.200000000000003</c:v>
                </c:pt>
              </c:numCache>
            </c:numRef>
          </c:val>
        </c:ser>
        <c:ser>
          <c:idx val="2"/>
          <c:order val="2"/>
          <c:tx>
            <c:strRef>
              <c:f>Sheet1!$E$6</c:f>
              <c:strCache>
                <c:ptCount val="1"/>
                <c:pt idx="0">
                  <c:v>G2</c:v>
                </c:pt>
              </c:strCache>
            </c:strRef>
          </c:tx>
          <c:cat>
            <c:strRef>
              <c:f>Sheet1!$A$7:$B$13</c:f>
              <c:strCache>
                <c:ptCount val="7"/>
                <c:pt idx="0">
                  <c:v> 1st day</c:v>
                </c:pt>
                <c:pt idx="1">
                  <c:v>1st week</c:v>
                </c:pt>
                <c:pt idx="2">
                  <c:v>2nd week</c:v>
                </c:pt>
                <c:pt idx="3">
                  <c:v>3rd week</c:v>
                </c:pt>
                <c:pt idx="4">
                  <c:v>6th day</c:v>
                </c:pt>
                <c:pt idx="5">
                  <c:v>12th day</c:v>
                </c:pt>
                <c:pt idx="6">
                  <c:v>18th day</c:v>
                </c:pt>
              </c:strCache>
            </c:strRef>
          </c:cat>
          <c:val>
            <c:numRef>
              <c:f>Sheet1!$E$7:$E$13</c:f>
              <c:numCache>
                <c:formatCode>General</c:formatCode>
                <c:ptCount val="7"/>
                <c:pt idx="0">
                  <c:v>32</c:v>
                </c:pt>
                <c:pt idx="1">
                  <c:v>30.2</c:v>
                </c:pt>
                <c:pt idx="2">
                  <c:v>28.9</c:v>
                </c:pt>
                <c:pt idx="3">
                  <c:v>26.7</c:v>
                </c:pt>
                <c:pt idx="4">
                  <c:v>27.2</c:v>
                </c:pt>
                <c:pt idx="5">
                  <c:v>28.4</c:v>
                </c:pt>
                <c:pt idx="6">
                  <c:v>29.5</c:v>
                </c:pt>
              </c:numCache>
            </c:numRef>
          </c:val>
        </c:ser>
        <c:shape val="cylinder"/>
        <c:axId val="62988288"/>
        <c:axId val="65720704"/>
        <c:axId val="0"/>
      </c:bar3DChart>
      <c:catAx>
        <c:axId val="62988288"/>
        <c:scaling>
          <c:orientation val="minMax"/>
        </c:scaling>
        <c:axPos val="b"/>
        <c:title>
          <c:tx>
            <c:rich>
              <a:bodyPr anchor="b" anchorCtr="1"/>
              <a:lstStyle/>
              <a:p>
                <a:pPr>
                  <a:defRPr sz="1400"/>
                </a:pPr>
                <a:r>
                  <a:rPr lang="en-US" sz="900" baseline="0"/>
                  <a:t>Before mating                                             After mating                             </a:t>
                </a:r>
              </a:p>
            </c:rich>
          </c:tx>
          <c:layout>
            <c:manualLayout>
              <c:xMode val="edge"/>
              <c:yMode val="edge"/>
              <c:x val="0.1951520623031702"/>
              <c:y val="0.90913508444297919"/>
            </c:manualLayout>
          </c:layout>
        </c:title>
        <c:tickLblPos val="nextTo"/>
        <c:spPr>
          <a:ln w="19050">
            <a:solidFill>
              <a:sysClr val="windowText" lastClr="000000"/>
            </a:solidFill>
          </a:ln>
        </c:spPr>
        <c:txPr>
          <a:bodyPr/>
          <a:lstStyle/>
          <a:p>
            <a:pPr>
              <a:defRPr sz="800" b="1" baseline="0"/>
            </a:pPr>
            <a:endParaRPr lang="ar-EG"/>
          </a:p>
        </c:txPr>
        <c:crossAx val="65720704"/>
        <c:crosses val="autoZero"/>
        <c:auto val="1"/>
        <c:lblAlgn val="ctr"/>
        <c:lblOffset val="100"/>
      </c:catAx>
      <c:valAx>
        <c:axId val="65720704"/>
        <c:scaling>
          <c:orientation val="minMax"/>
        </c:scaling>
        <c:axPos val="l"/>
        <c:title>
          <c:tx>
            <c:rich>
              <a:bodyPr rot="-5400000" vert="horz"/>
              <a:lstStyle/>
              <a:p>
                <a:pPr>
                  <a:defRPr sz="800">
                    <a:cs typeface="+mj-cs"/>
                  </a:defRPr>
                </a:pPr>
                <a:r>
                  <a:rPr lang="en-US" sz="800" baseline="0">
                    <a:cs typeface="+mj-cs"/>
                  </a:rPr>
                  <a:t>Mean of body weight </a:t>
                </a:r>
              </a:p>
            </c:rich>
          </c:tx>
          <c:layout>
            <c:manualLayout>
              <c:xMode val="edge"/>
              <c:yMode val="edge"/>
              <c:x val="1.9858061430056443E-3"/>
              <c:y val="0.30870340102913407"/>
            </c:manualLayout>
          </c:layout>
        </c:title>
        <c:numFmt formatCode="General" sourceLinked="1"/>
        <c:tickLblPos val="nextTo"/>
        <c:spPr>
          <a:ln w="19050">
            <a:solidFill>
              <a:schemeClr val="tx1"/>
            </a:solidFill>
          </a:ln>
        </c:spPr>
        <c:txPr>
          <a:bodyPr/>
          <a:lstStyle/>
          <a:p>
            <a:pPr>
              <a:defRPr sz="800" b="1" baseline="0">
                <a:cs typeface="+mj-cs"/>
              </a:defRPr>
            </a:pPr>
            <a:endParaRPr lang="ar-EG"/>
          </a:p>
        </c:txPr>
        <c:crossAx val="62988288"/>
        <c:crosses val="autoZero"/>
        <c:crossBetween val="between"/>
      </c:valAx>
    </c:plotArea>
    <c:legend>
      <c:legendPos val="r"/>
      <c:legendEntry>
        <c:idx val="0"/>
        <c:txPr>
          <a:bodyPr/>
          <a:lstStyle/>
          <a:p>
            <a:pPr>
              <a:defRPr sz="1000" b="1" baseline="0">
                <a:cs typeface="+mj-cs"/>
              </a:defRPr>
            </a:pPr>
            <a:endParaRPr lang="ar-EG"/>
          </a:p>
        </c:txPr>
      </c:legendEntry>
      <c:legendEntry>
        <c:idx val="1"/>
        <c:txPr>
          <a:bodyPr/>
          <a:lstStyle/>
          <a:p>
            <a:pPr>
              <a:defRPr sz="1000" b="1" baseline="0">
                <a:cs typeface="+mj-cs"/>
              </a:defRPr>
            </a:pPr>
            <a:endParaRPr lang="ar-EG"/>
          </a:p>
        </c:txPr>
      </c:legendEntry>
      <c:legendEntry>
        <c:idx val="2"/>
        <c:txPr>
          <a:bodyPr/>
          <a:lstStyle/>
          <a:p>
            <a:pPr>
              <a:defRPr sz="1000" b="1" baseline="0">
                <a:cs typeface="+mj-cs"/>
              </a:defRPr>
            </a:pPr>
            <a:endParaRPr lang="ar-EG"/>
          </a:p>
        </c:txPr>
      </c:legendEntry>
      <c:layout>
        <c:manualLayout>
          <c:xMode val="edge"/>
          <c:yMode val="edge"/>
          <c:x val="0.91723202119070757"/>
          <c:y val="6.2563448510550693E-2"/>
          <c:w val="8.2767986091307991E-2"/>
          <c:h val="0.24675834708348998"/>
        </c:manualLayout>
      </c:layout>
      <c:txPr>
        <a:bodyPr/>
        <a:lstStyle/>
        <a:p>
          <a:pPr>
            <a:defRPr sz="1000" b="1">
              <a:cs typeface="+mj-cs"/>
            </a:defRPr>
          </a:pPr>
          <a:endParaRPr lang="ar-EG"/>
        </a:p>
      </c:txPr>
    </c:legend>
    <c:plotVisOnly val="1"/>
  </c:chart>
  <c:spPr>
    <a:ln w="19050">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EG"/>
  <c:chart>
    <c:autoTitleDeleted val="1"/>
    <c:view3D>
      <c:rotY val="340"/>
      <c:rAngAx val="1"/>
    </c:view3D>
    <c:floor>
      <c:spPr>
        <a:ln w="6350">
          <a:solidFill>
            <a:sysClr val="windowText" lastClr="000000"/>
          </a:solidFill>
        </a:ln>
        <a:scene3d>
          <a:camera prst="orthographicFront"/>
          <a:lightRig rig="threePt" dir="t"/>
        </a:scene3d>
        <a:sp3d>
          <a:contourClr>
            <a:srgbClr val="000000"/>
          </a:contourClr>
        </a:sp3d>
      </c:spPr>
    </c:floor>
    <c:plotArea>
      <c:layout>
        <c:manualLayout>
          <c:layoutTarget val="inner"/>
          <c:xMode val="edge"/>
          <c:yMode val="edge"/>
          <c:x val="7.8650945833843314E-2"/>
          <c:y val="0.13693682004192159"/>
          <c:w val="0.8410729876382036"/>
          <c:h val="0.69384249925142261"/>
        </c:manualLayout>
      </c:layout>
      <c:bar3DChart>
        <c:barDir val="col"/>
        <c:grouping val="clustered"/>
        <c:ser>
          <c:idx val="0"/>
          <c:order val="0"/>
          <c:tx>
            <c:strRef>
              <c:f>Sheet1!$K$2</c:f>
              <c:strCache>
                <c:ptCount val="1"/>
                <c:pt idx="0">
                  <c:v>C</c:v>
                </c:pt>
              </c:strCache>
            </c:strRef>
          </c:tx>
          <c:cat>
            <c:strRef>
              <c:f>Sheet1!$J$3:$J$6</c:f>
              <c:strCache>
                <c:ptCount val="4"/>
                <c:pt idx="0">
                  <c:v>1st week</c:v>
                </c:pt>
                <c:pt idx="1">
                  <c:v>2nd week</c:v>
                </c:pt>
                <c:pt idx="2">
                  <c:v>3rd week</c:v>
                </c:pt>
                <c:pt idx="3">
                  <c:v>After mating </c:v>
                </c:pt>
              </c:strCache>
            </c:strRef>
          </c:cat>
          <c:val>
            <c:numRef>
              <c:f>Sheet1!$K$3:$K$6</c:f>
              <c:numCache>
                <c:formatCode>General</c:formatCode>
                <c:ptCount val="4"/>
                <c:pt idx="0">
                  <c:v>100</c:v>
                </c:pt>
                <c:pt idx="1">
                  <c:v>100</c:v>
                </c:pt>
                <c:pt idx="2">
                  <c:v>100</c:v>
                </c:pt>
                <c:pt idx="3">
                  <c:v>100</c:v>
                </c:pt>
              </c:numCache>
            </c:numRef>
          </c:val>
        </c:ser>
        <c:ser>
          <c:idx val="1"/>
          <c:order val="1"/>
          <c:tx>
            <c:strRef>
              <c:f>Sheet1!$L$2</c:f>
              <c:strCache>
                <c:ptCount val="1"/>
                <c:pt idx="0">
                  <c:v>G1</c:v>
                </c:pt>
              </c:strCache>
            </c:strRef>
          </c:tx>
          <c:cat>
            <c:strRef>
              <c:f>Sheet1!$J$3:$J$6</c:f>
              <c:strCache>
                <c:ptCount val="4"/>
                <c:pt idx="0">
                  <c:v>1st week</c:v>
                </c:pt>
                <c:pt idx="1">
                  <c:v>2nd week</c:v>
                </c:pt>
                <c:pt idx="2">
                  <c:v>3rd week</c:v>
                </c:pt>
                <c:pt idx="3">
                  <c:v>After mating </c:v>
                </c:pt>
              </c:strCache>
            </c:strRef>
          </c:cat>
          <c:val>
            <c:numRef>
              <c:f>Sheet1!$L$3:$L$6</c:f>
              <c:numCache>
                <c:formatCode>General</c:formatCode>
                <c:ptCount val="4"/>
                <c:pt idx="0">
                  <c:v>100</c:v>
                </c:pt>
                <c:pt idx="1">
                  <c:v>96.7</c:v>
                </c:pt>
                <c:pt idx="2">
                  <c:v>90</c:v>
                </c:pt>
                <c:pt idx="3">
                  <c:v>95.2</c:v>
                </c:pt>
              </c:numCache>
            </c:numRef>
          </c:val>
        </c:ser>
        <c:ser>
          <c:idx val="2"/>
          <c:order val="2"/>
          <c:tx>
            <c:strRef>
              <c:f>Sheet1!$M$2</c:f>
              <c:strCache>
                <c:ptCount val="1"/>
                <c:pt idx="0">
                  <c:v>G2</c:v>
                </c:pt>
              </c:strCache>
            </c:strRef>
          </c:tx>
          <c:cat>
            <c:strRef>
              <c:f>Sheet1!$J$3:$J$6</c:f>
              <c:strCache>
                <c:ptCount val="4"/>
                <c:pt idx="0">
                  <c:v>1st week</c:v>
                </c:pt>
                <c:pt idx="1">
                  <c:v>2nd week</c:v>
                </c:pt>
                <c:pt idx="2">
                  <c:v>3rd week</c:v>
                </c:pt>
                <c:pt idx="3">
                  <c:v>After mating </c:v>
                </c:pt>
              </c:strCache>
            </c:strRef>
          </c:cat>
          <c:val>
            <c:numRef>
              <c:f>Sheet1!$M$3:$M$6</c:f>
              <c:numCache>
                <c:formatCode>General</c:formatCode>
                <c:ptCount val="4"/>
                <c:pt idx="0">
                  <c:v>96.7</c:v>
                </c:pt>
                <c:pt idx="1">
                  <c:v>90</c:v>
                </c:pt>
                <c:pt idx="2">
                  <c:v>76.7</c:v>
                </c:pt>
                <c:pt idx="3">
                  <c:v>85.7</c:v>
                </c:pt>
              </c:numCache>
            </c:numRef>
          </c:val>
        </c:ser>
        <c:shape val="cylinder"/>
        <c:axId val="74720000"/>
        <c:axId val="74721536"/>
        <c:axId val="0"/>
      </c:bar3DChart>
      <c:catAx>
        <c:axId val="74720000"/>
        <c:scaling>
          <c:orientation val="minMax"/>
        </c:scaling>
        <c:axPos val="b"/>
        <c:tickLblPos val="nextTo"/>
        <c:spPr>
          <a:ln w="12700"/>
        </c:spPr>
        <c:txPr>
          <a:bodyPr/>
          <a:lstStyle/>
          <a:p>
            <a:pPr>
              <a:defRPr sz="900" b="1" baseline="0">
                <a:cs typeface="+mj-cs"/>
              </a:defRPr>
            </a:pPr>
            <a:endParaRPr lang="ar-EG"/>
          </a:p>
        </c:txPr>
        <c:crossAx val="74721536"/>
        <c:crosses val="autoZero"/>
        <c:auto val="1"/>
        <c:lblAlgn val="ctr"/>
        <c:lblOffset val="100"/>
      </c:catAx>
      <c:valAx>
        <c:axId val="74721536"/>
        <c:scaling>
          <c:orientation val="minMax"/>
        </c:scaling>
        <c:axPos val="l"/>
        <c:title>
          <c:tx>
            <c:rich>
              <a:bodyPr rot="-5400000" vert="horz"/>
              <a:lstStyle/>
              <a:p>
                <a:pPr>
                  <a:defRPr sz="800" baseline="0"/>
                </a:pPr>
                <a:r>
                  <a:rPr lang="en-US" sz="800" baseline="0"/>
                  <a:t>Percentage %</a:t>
                </a:r>
              </a:p>
            </c:rich>
          </c:tx>
          <c:layout>
            <c:manualLayout>
              <c:xMode val="edge"/>
              <c:yMode val="edge"/>
              <c:x val="8.9299269246020611E-3"/>
              <c:y val="0.34667898462150731"/>
            </c:manualLayout>
          </c:layout>
        </c:title>
        <c:numFmt formatCode="General" sourceLinked="1"/>
        <c:tickLblPos val="nextTo"/>
        <c:spPr>
          <a:ln w="6350">
            <a:solidFill>
              <a:schemeClr val="tx1"/>
            </a:solidFill>
          </a:ln>
        </c:spPr>
        <c:txPr>
          <a:bodyPr/>
          <a:lstStyle/>
          <a:p>
            <a:pPr>
              <a:defRPr sz="800" b="1" baseline="0">
                <a:cs typeface="+mj-cs"/>
              </a:defRPr>
            </a:pPr>
            <a:endParaRPr lang="ar-EG"/>
          </a:p>
        </c:txPr>
        <c:crossAx val="74720000"/>
        <c:crosses val="autoZero"/>
        <c:crossBetween val="between"/>
      </c:valAx>
      <c:spPr>
        <a:ln w="19050">
          <a:solidFill>
            <a:schemeClr val="bg1"/>
          </a:solidFill>
        </a:ln>
      </c:spPr>
    </c:plotArea>
    <c:legend>
      <c:legendPos val="r"/>
      <c:legendEntry>
        <c:idx val="0"/>
        <c:txPr>
          <a:bodyPr/>
          <a:lstStyle/>
          <a:p>
            <a:pPr>
              <a:defRPr sz="800" b="1" baseline="0">
                <a:cs typeface="+mj-cs"/>
              </a:defRPr>
            </a:pPr>
            <a:endParaRPr lang="ar-EG"/>
          </a:p>
        </c:txPr>
      </c:legendEntry>
      <c:legendEntry>
        <c:idx val="1"/>
        <c:txPr>
          <a:bodyPr/>
          <a:lstStyle/>
          <a:p>
            <a:pPr>
              <a:defRPr sz="800" b="1" baseline="0">
                <a:cs typeface="+mj-cs"/>
              </a:defRPr>
            </a:pPr>
            <a:endParaRPr lang="ar-EG"/>
          </a:p>
        </c:txPr>
      </c:legendEntry>
      <c:legendEntry>
        <c:idx val="2"/>
        <c:txPr>
          <a:bodyPr/>
          <a:lstStyle/>
          <a:p>
            <a:pPr>
              <a:defRPr sz="800" b="1" baseline="0">
                <a:cs typeface="+mj-cs"/>
              </a:defRPr>
            </a:pPr>
            <a:endParaRPr lang="ar-EG"/>
          </a:p>
        </c:txPr>
      </c:legendEntry>
      <c:layout>
        <c:manualLayout>
          <c:xMode val="edge"/>
          <c:yMode val="edge"/>
          <c:x val="0.90299399982813455"/>
          <c:y val="6.5552199483687762E-2"/>
          <c:w val="7.9991701462406833E-2"/>
          <c:h val="0.29585992122590754"/>
        </c:manualLayout>
      </c:layout>
      <c:txPr>
        <a:bodyPr/>
        <a:lstStyle/>
        <a:p>
          <a:pPr>
            <a:defRPr sz="800" baseline="0">
              <a:cs typeface="+mj-cs"/>
            </a:defRPr>
          </a:pPr>
          <a:endParaRPr lang="ar-EG"/>
        </a:p>
      </c:txPr>
    </c:legend>
    <c:plotVisOnly val="1"/>
  </c:chart>
  <c:spPr>
    <a:ln w="9525">
      <a:solidFill>
        <a:schemeClr val="tx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EG"/>
  <c:chart>
    <c:autoTitleDeleted val="1"/>
    <c:view3D>
      <c:rotX val="2"/>
      <c:rotY val="350"/>
      <c:rAngAx val="1"/>
    </c:view3D>
    <c:floor>
      <c:spPr>
        <a:ln w="3175">
          <a:solidFill>
            <a:sysClr val="windowText" lastClr="000000"/>
          </a:solidFill>
        </a:ln>
        <a:scene3d>
          <a:camera prst="orthographicFront"/>
          <a:lightRig rig="threePt" dir="t"/>
        </a:scene3d>
        <a:sp3d>
          <a:contourClr>
            <a:srgbClr val="000000"/>
          </a:contourClr>
        </a:sp3d>
      </c:spPr>
    </c:floor>
    <c:sideWall>
      <c:spPr>
        <a:ln w="9525"/>
      </c:spPr>
    </c:sideWall>
    <c:backWall>
      <c:spPr>
        <a:ln w="9525"/>
      </c:spPr>
    </c:backWall>
    <c:plotArea>
      <c:layout>
        <c:manualLayout>
          <c:layoutTarget val="inner"/>
          <c:xMode val="edge"/>
          <c:yMode val="edge"/>
          <c:x val="0.20502851700499464"/>
          <c:y val="9.0458067741532297E-2"/>
          <c:w val="0.64810028369285877"/>
          <c:h val="0.78199822279251063"/>
        </c:manualLayout>
      </c:layout>
      <c:bar3DChart>
        <c:barDir val="col"/>
        <c:grouping val="clustered"/>
        <c:ser>
          <c:idx val="0"/>
          <c:order val="0"/>
          <c:tx>
            <c:strRef>
              <c:f>Sheet1!$D$3</c:f>
              <c:strCache>
                <c:ptCount val="1"/>
                <c:pt idx="0">
                  <c:v>C</c:v>
                </c:pt>
              </c:strCache>
            </c:strRef>
          </c:tx>
          <c:val>
            <c:numRef>
              <c:f>Sheet1!$D$4</c:f>
              <c:numCache>
                <c:formatCode>General</c:formatCode>
                <c:ptCount val="1"/>
                <c:pt idx="0">
                  <c:v>96.7</c:v>
                </c:pt>
              </c:numCache>
            </c:numRef>
          </c:val>
        </c:ser>
        <c:ser>
          <c:idx val="1"/>
          <c:order val="1"/>
          <c:tx>
            <c:strRef>
              <c:f>Sheet1!$E$3</c:f>
              <c:strCache>
                <c:ptCount val="1"/>
                <c:pt idx="0">
                  <c:v>G1</c:v>
                </c:pt>
              </c:strCache>
            </c:strRef>
          </c:tx>
          <c:val>
            <c:numRef>
              <c:f>Sheet1!$E$4</c:f>
              <c:numCache>
                <c:formatCode>General</c:formatCode>
                <c:ptCount val="1"/>
                <c:pt idx="0">
                  <c:v>77.8</c:v>
                </c:pt>
              </c:numCache>
            </c:numRef>
          </c:val>
        </c:ser>
        <c:ser>
          <c:idx val="2"/>
          <c:order val="2"/>
          <c:tx>
            <c:strRef>
              <c:f>Sheet1!$F$3</c:f>
              <c:strCache>
                <c:ptCount val="1"/>
                <c:pt idx="0">
                  <c:v>G2</c:v>
                </c:pt>
              </c:strCache>
            </c:strRef>
          </c:tx>
          <c:val>
            <c:numRef>
              <c:f>Sheet1!$F$4</c:f>
              <c:numCache>
                <c:formatCode>General</c:formatCode>
                <c:ptCount val="1"/>
                <c:pt idx="0">
                  <c:v>60.9</c:v>
                </c:pt>
              </c:numCache>
            </c:numRef>
          </c:val>
        </c:ser>
        <c:gapWidth val="330"/>
        <c:gapDepth val="500"/>
        <c:shape val="cylinder"/>
        <c:axId val="78015104"/>
        <c:axId val="78128640"/>
        <c:axId val="0"/>
      </c:bar3DChart>
      <c:catAx>
        <c:axId val="78015104"/>
        <c:scaling>
          <c:orientation val="minMax"/>
        </c:scaling>
        <c:delete val="1"/>
        <c:axPos val="b"/>
        <c:title>
          <c:tx>
            <c:rich>
              <a:bodyPr/>
              <a:lstStyle/>
              <a:p>
                <a:pPr>
                  <a:defRPr sz="800" baseline="0">
                    <a:cs typeface="+mj-cs"/>
                  </a:defRPr>
                </a:pPr>
                <a:r>
                  <a:rPr lang="en-US" sz="800" baseline="0">
                    <a:cs typeface="+mj-cs"/>
                  </a:rPr>
                  <a:t>C            G1          G2  </a:t>
                </a:r>
              </a:p>
            </c:rich>
          </c:tx>
          <c:layout>
            <c:manualLayout>
              <c:xMode val="edge"/>
              <c:yMode val="edge"/>
              <c:x val="0.45389747167679984"/>
              <c:y val="0.87023184601924763"/>
            </c:manualLayout>
          </c:layout>
        </c:title>
        <c:tickLblPos val="none"/>
        <c:crossAx val="78128640"/>
        <c:crosses val="autoZero"/>
        <c:auto val="1"/>
        <c:lblAlgn val="ctr"/>
        <c:lblOffset val="100"/>
      </c:catAx>
      <c:valAx>
        <c:axId val="78128640"/>
        <c:scaling>
          <c:orientation val="minMax"/>
        </c:scaling>
        <c:axPos val="l"/>
        <c:title>
          <c:tx>
            <c:rich>
              <a:bodyPr rot="-5400000" vert="horz"/>
              <a:lstStyle/>
              <a:p>
                <a:pPr>
                  <a:defRPr sz="800" baseline="0">
                    <a:cs typeface="+mj-cs"/>
                  </a:defRPr>
                </a:pPr>
                <a:r>
                  <a:rPr lang="en-US" sz="800" baseline="0">
                    <a:cs typeface="+mj-cs"/>
                  </a:rPr>
                  <a:t>Percentage %</a:t>
                </a:r>
              </a:p>
            </c:rich>
          </c:tx>
          <c:layout>
            <c:manualLayout>
              <c:xMode val="edge"/>
              <c:yMode val="edge"/>
              <c:x val="1.8758216480443936E-2"/>
              <c:y val="0.28080541763400496"/>
            </c:manualLayout>
          </c:layout>
        </c:title>
        <c:numFmt formatCode="General" sourceLinked="1"/>
        <c:tickLblPos val="nextTo"/>
        <c:spPr>
          <a:ln w="6350">
            <a:solidFill>
              <a:schemeClr val="tx1"/>
            </a:solidFill>
          </a:ln>
        </c:spPr>
        <c:txPr>
          <a:bodyPr/>
          <a:lstStyle/>
          <a:p>
            <a:pPr>
              <a:defRPr sz="800" b="1" baseline="0">
                <a:cs typeface="+mj-cs"/>
              </a:defRPr>
            </a:pPr>
            <a:endParaRPr lang="ar-EG"/>
          </a:p>
        </c:txPr>
        <c:crossAx val="78015104"/>
        <c:crosses val="autoZero"/>
        <c:crossBetween val="between"/>
      </c:valAx>
    </c:plotArea>
    <c:legend>
      <c:legendPos val="r"/>
      <c:legendEntry>
        <c:idx val="0"/>
        <c:txPr>
          <a:bodyPr/>
          <a:lstStyle/>
          <a:p>
            <a:pPr>
              <a:defRPr sz="1000" b="1" baseline="0">
                <a:cs typeface="+mj-cs"/>
              </a:defRPr>
            </a:pPr>
            <a:endParaRPr lang="ar-EG"/>
          </a:p>
        </c:txPr>
      </c:legendEntry>
      <c:legendEntry>
        <c:idx val="1"/>
        <c:txPr>
          <a:bodyPr/>
          <a:lstStyle/>
          <a:p>
            <a:pPr>
              <a:defRPr sz="1000" b="1" baseline="0">
                <a:cs typeface="+mj-cs"/>
              </a:defRPr>
            </a:pPr>
            <a:endParaRPr lang="ar-EG"/>
          </a:p>
        </c:txPr>
      </c:legendEntry>
      <c:legendEntry>
        <c:idx val="2"/>
        <c:txPr>
          <a:bodyPr/>
          <a:lstStyle/>
          <a:p>
            <a:pPr>
              <a:defRPr sz="1000" b="1" baseline="0">
                <a:cs typeface="+mj-cs"/>
              </a:defRPr>
            </a:pPr>
            <a:endParaRPr lang="ar-EG"/>
          </a:p>
        </c:txPr>
      </c:legendEntry>
      <c:txPr>
        <a:bodyPr/>
        <a:lstStyle/>
        <a:p>
          <a:pPr>
            <a:defRPr sz="1000" baseline="0">
              <a:cs typeface="+mj-cs"/>
            </a:defRPr>
          </a:pPr>
          <a:endParaRPr lang="ar-EG"/>
        </a:p>
      </c:txPr>
    </c:legend>
    <c:plotVisOnly val="1"/>
  </c:chart>
  <c:spPr>
    <a:ln w="9525">
      <a:solidFill>
        <a:schemeClr val="tx1"/>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ar-EG"/>
  <c:chart>
    <c:view3D>
      <c:rotY val="340"/>
      <c:rAngAx val="1"/>
    </c:view3D>
    <c:floor>
      <c:spPr>
        <a:ln w="19050">
          <a:solidFill>
            <a:schemeClr val="tx1"/>
          </a:solidFill>
        </a:ln>
      </c:spPr>
    </c:floor>
    <c:plotArea>
      <c:layout>
        <c:manualLayout>
          <c:layoutTarget val="inner"/>
          <c:xMode val="edge"/>
          <c:yMode val="edge"/>
          <c:x val="0.1040677215345621"/>
          <c:y val="4.7280031316378923E-2"/>
          <c:w val="0.8274175166719987"/>
          <c:h val="0.77289820059307368"/>
        </c:manualLayout>
      </c:layout>
      <c:bar3DChart>
        <c:barDir val="col"/>
        <c:grouping val="clustered"/>
        <c:ser>
          <c:idx val="0"/>
          <c:order val="0"/>
          <c:tx>
            <c:strRef>
              <c:f>Sheet1!$J$9</c:f>
              <c:strCache>
                <c:ptCount val="1"/>
                <c:pt idx="0">
                  <c:v>C</c:v>
                </c:pt>
              </c:strCache>
            </c:strRef>
          </c:tx>
          <c:cat>
            <c:strRef>
              <c:f>Sheet1!$G$10:$I$14</c:f>
              <c:strCache>
                <c:ptCount val="5"/>
                <c:pt idx="0">
                  <c:v>Aborted females</c:v>
                </c:pt>
                <c:pt idx="1">
                  <c:v> Foetuses / mother</c:v>
                </c:pt>
                <c:pt idx="2">
                  <c:v>Stillbirths</c:v>
                </c:pt>
                <c:pt idx="3">
                  <c:v>Resorbed foetuses</c:v>
                </c:pt>
                <c:pt idx="4">
                  <c:v>Total mortality</c:v>
                </c:pt>
              </c:strCache>
            </c:strRef>
          </c:cat>
          <c:val>
            <c:numRef>
              <c:f>Sheet1!$J$10:$J$14</c:f>
              <c:numCache>
                <c:formatCode>General</c:formatCode>
                <c:ptCount val="5"/>
                <c:pt idx="0">
                  <c:v>0</c:v>
                </c:pt>
                <c:pt idx="1">
                  <c:v>100</c:v>
                </c:pt>
                <c:pt idx="2">
                  <c:v>0</c:v>
                </c:pt>
                <c:pt idx="3">
                  <c:v>0</c:v>
                </c:pt>
                <c:pt idx="4">
                  <c:v>0</c:v>
                </c:pt>
              </c:numCache>
            </c:numRef>
          </c:val>
        </c:ser>
        <c:ser>
          <c:idx val="1"/>
          <c:order val="1"/>
          <c:tx>
            <c:strRef>
              <c:f>Sheet1!$K$9</c:f>
              <c:strCache>
                <c:ptCount val="1"/>
                <c:pt idx="0">
                  <c:v>G1</c:v>
                </c:pt>
              </c:strCache>
            </c:strRef>
          </c:tx>
          <c:cat>
            <c:strRef>
              <c:f>Sheet1!$G$10:$I$14</c:f>
              <c:strCache>
                <c:ptCount val="5"/>
                <c:pt idx="0">
                  <c:v>Aborted females</c:v>
                </c:pt>
                <c:pt idx="1">
                  <c:v> Foetuses / mother</c:v>
                </c:pt>
                <c:pt idx="2">
                  <c:v>Stillbirths</c:v>
                </c:pt>
                <c:pt idx="3">
                  <c:v>Resorbed foetuses</c:v>
                </c:pt>
                <c:pt idx="4">
                  <c:v>Total mortality</c:v>
                </c:pt>
              </c:strCache>
            </c:strRef>
          </c:cat>
          <c:val>
            <c:numRef>
              <c:f>Sheet1!$K$10:$K$14</c:f>
              <c:numCache>
                <c:formatCode>General</c:formatCode>
                <c:ptCount val="5"/>
                <c:pt idx="0">
                  <c:v>5</c:v>
                </c:pt>
                <c:pt idx="1">
                  <c:v>88.1</c:v>
                </c:pt>
                <c:pt idx="2">
                  <c:v>8.2000000000000011</c:v>
                </c:pt>
                <c:pt idx="3">
                  <c:v>4.3</c:v>
                </c:pt>
                <c:pt idx="4">
                  <c:v>12.5</c:v>
                </c:pt>
              </c:numCache>
            </c:numRef>
          </c:val>
        </c:ser>
        <c:ser>
          <c:idx val="2"/>
          <c:order val="2"/>
          <c:tx>
            <c:strRef>
              <c:f>Sheet1!$L$9</c:f>
              <c:strCache>
                <c:ptCount val="1"/>
                <c:pt idx="0">
                  <c:v>G2</c:v>
                </c:pt>
              </c:strCache>
            </c:strRef>
          </c:tx>
          <c:cat>
            <c:strRef>
              <c:f>Sheet1!$G$10:$I$14</c:f>
              <c:strCache>
                <c:ptCount val="5"/>
                <c:pt idx="0">
                  <c:v>Aborted females</c:v>
                </c:pt>
                <c:pt idx="1">
                  <c:v> Foetuses / mother</c:v>
                </c:pt>
                <c:pt idx="2">
                  <c:v>Stillbirths</c:v>
                </c:pt>
                <c:pt idx="3">
                  <c:v>Resorbed foetuses</c:v>
                </c:pt>
                <c:pt idx="4">
                  <c:v>Total mortality</c:v>
                </c:pt>
              </c:strCache>
            </c:strRef>
          </c:cat>
          <c:val>
            <c:numRef>
              <c:f>Sheet1!$L$10:$L$14</c:f>
              <c:numCache>
                <c:formatCode>General</c:formatCode>
                <c:ptCount val="5"/>
                <c:pt idx="0">
                  <c:v>25</c:v>
                </c:pt>
                <c:pt idx="1">
                  <c:v>69.099999999999994</c:v>
                </c:pt>
                <c:pt idx="2">
                  <c:v>22.5</c:v>
                </c:pt>
                <c:pt idx="3">
                  <c:v>19</c:v>
                </c:pt>
                <c:pt idx="4">
                  <c:v>41.5</c:v>
                </c:pt>
              </c:numCache>
            </c:numRef>
          </c:val>
        </c:ser>
        <c:shape val="cylinder"/>
        <c:axId val="78215808"/>
        <c:axId val="78299520"/>
        <c:axId val="0"/>
      </c:bar3DChart>
      <c:catAx>
        <c:axId val="78215808"/>
        <c:scaling>
          <c:orientation val="minMax"/>
        </c:scaling>
        <c:axPos val="b"/>
        <c:tickLblPos val="nextTo"/>
        <c:txPr>
          <a:bodyPr/>
          <a:lstStyle/>
          <a:p>
            <a:pPr>
              <a:defRPr sz="800" b="1" baseline="0">
                <a:cs typeface="+mj-cs"/>
              </a:defRPr>
            </a:pPr>
            <a:endParaRPr lang="ar-EG"/>
          </a:p>
        </c:txPr>
        <c:crossAx val="78299520"/>
        <c:crosses val="autoZero"/>
        <c:auto val="1"/>
        <c:lblAlgn val="ctr"/>
        <c:lblOffset val="100"/>
      </c:catAx>
      <c:valAx>
        <c:axId val="78299520"/>
        <c:scaling>
          <c:orientation val="minMax"/>
        </c:scaling>
        <c:axPos val="l"/>
        <c:title>
          <c:tx>
            <c:rich>
              <a:bodyPr rot="-5400000" vert="horz"/>
              <a:lstStyle/>
              <a:p>
                <a:pPr>
                  <a:defRPr sz="800" baseline="0"/>
                </a:pPr>
                <a:r>
                  <a:rPr lang="en-US" sz="800" baseline="0">
                    <a:cs typeface="+mj-cs"/>
                  </a:rPr>
                  <a:t>Percentage</a:t>
                </a:r>
              </a:p>
            </c:rich>
          </c:tx>
          <c:layout>
            <c:manualLayout>
              <c:xMode val="edge"/>
              <c:yMode val="edge"/>
              <c:x val="5.7846511415813092E-3"/>
              <c:y val="0.3406528523516929"/>
            </c:manualLayout>
          </c:layout>
        </c:title>
        <c:numFmt formatCode="General" sourceLinked="1"/>
        <c:tickLblPos val="nextTo"/>
        <c:spPr>
          <a:ln w="19050">
            <a:solidFill>
              <a:schemeClr val="tx1"/>
            </a:solidFill>
          </a:ln>
        </c:spPr>
        <c:txPr>
          <a:bodyPr/>
          <a:lstStyle/>
          <a:p>
            <a:pPr>
              <a:defRPr sz="800" b="1" baseline="0">
                <a:cs typeface="+mj-cs"/>
              </a:defRPr>
            </a:pPr>
            <a:endParaRPr lang="ar-EG"/>
          </a:p>
        </c:txPr>
        <c:crossAx val="78215808"/>
        <c:crosses val="autoZero"/>
        <c:crossBetween val="between"/>
      </c:valAx>
    </c:plotArea>
    <c:legend>
      <c:legendPos val="l"/>
      <c:layout>
        <c:manualLayout>
          <c:xMode val="edge"/>
          <c:yMode val="edge"/>
          <c:x val="0.90334009031178564"/>
          <c:y val="8.4656058948631555E-2"/>
          <c:w val="7.6591877628199717E-2"/>
          <c:h val="0.32551995124632832"/>
        </c:manualLayout>
      </c:layout>
      <c:txPr>
        <a:bodyPr/>
        <a:lstStyle/>
        <a:p>
          <a:pPr>
            <a:defRPr sz="1000" b="1" baseline="0">
              <a:cs typeface="+mj-cs"/>
            </a:defRPr>
          </a:pPr>
          <a:endParaRPr lang="ar-EG"/>
        </a:p>
      </c:txPr>
    </c:legend>
    <c:plotVisOnly val="1"/>
  </c:chart>
  <c:spPr>
    <a:ln w="19050">
      <a:solidFill>
        <a:prstClr val="black"/>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A9562-0A5A-453A-8873-5B551B777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15</Pages>
  <Words>5390</Words>
  <Characters>30725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nagah</dc:creator>
  <cp:lastModifiedBy>Elaqssa</cp:lastModifiedBy>
  <cp:revision>10</cp:revision>
  <dcterms:created xsi:type="dcterms:W3CDTF">2013-12-26T19:19:00Z</dcterms:created>
  <dcterms:modified xsi:type="dcterms:W3CDTF">2014-02-02T19:03:00Z</dcterms:modified>
</cp:coreProperties>
</file>