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8EE" w:rsidRPr="002048EE" w:rsidRDefault="002048EE" w:rsidP="002048EE">
      <w:pPr>
        <w:autoSpaceDE w:val="0"/>
        <w:autoSpaceDN w:val="0"/>
        <w:adjustRightInd w:val="0"/>
        <w:spacing w:after="0" w:line="240" w:lineRule="auto"/>
        <w:rPr>
          <w:rFonts w:ascii="Times New Roman" w:hAnsi="Times New Roman" w:cs="Times New Roman"/>
          <w:color w:val="000000"/>
          <w:sz w:val="24"/>
          <w:szCs w:val="24"/>
        </w:rPr>
      </w:pPr>
    </w:p>
    <w:p w:rsidR="002048EE" w:rsidRDefault="002048EE" w:rsidP="002048EE">
      <w:pPr>
        <w:jc w:val="center"/>
        <w:rPr>
          <w:rFonts w:ascii="Times New Roman" w:hAnsi="Times New Roman" w:cs="Times New Roman"/>
          <w:b/>
          <w:bCs/>
          <w:color w:val="000000"/>
          <w:sz w:val="28"/>
          <w:szCs w:val="28"/>
        </w:rPr>
      </w:pPr>
      <w:r w:rsidRPr="002048EE">
        <w:rPr>
          <w:rFonts w:ascii="Times New Roman" w:hAnsi="Times New Roman" w:cs="Times New Roman"/>
          <w:b/>
          <w:bCs/>
          <w:color w:val="000000"/>
          <w:sz w:val="28"/>
          <w:szCs w:val="28"/>
        </w:rPr>
        <w:t xml:space="preserve">Traditional Versus Instructing Standard Guidelines of Preoperative Fasting Times on Associated Discomforts in Patients undergoing Elective </w:t>
      </w:r>
      <w:bookmarkStart w:id="0" w:name="_GoBack"/>
      <w:r w:rsidRPr="002048EE">
        <w:rPr>
          <w:rFonts w:ascii="Times New Roman" w:hAnsi="Times New Roman" w:cs="Times New Roman"/>
          <w:b/>
          <w:bCs/>
          <w:color w:val="000000"/>
          <w:sz w:val="28"/>
          <w:szCs w:val="28"/>
        </w:rPr>
        <w:t>Cesarean Section</w:t>
      </w:r>
      <w:bookmarkEnd w:id="0"/>
      <w:r w:rsidRPr="002048EE">
        <w:rPr>
          <w:rFonts w:ascii="Times New Roman" w:hAnsi="Times New Roman" w:cs="Times New Roman"/>
          <w:b/>
          <w:bCs/>
          <w:color w:val="000000"/>
          <w:sz w:val="28"/>
          <w:szCs w:val="28"/>
        </w:rPr>
        <w:t>: Orotta Maternity National Referral and Teaching Hospital and Sembel Hospital, Eritrea</w:t>
      </w:r>
    </w:p>
    <w:p w:rsidR="002048EE" w:rsidRPr="00BF56AE" w:rsidRDefault="002048EE" w:rsidP="002048EE">
      <w:pPr>
        <w:rPr>
          <w:rFonts w:ascii="Times New Roman" w:hAnsi="Times New Roman" w:cs="Times New Roman"/>
          <w:b/>
          <w:bCs/>
          <w:color w:val="000000"/>
          <w:sz w:val="28"/>
          <w:szCs w:val="28"/>
          <w:vertAlign w:val="superscript"/>
        </w:rPr>
      </w:pPr>
      <w:r>
        <w:rPr>
          <w:rFonts w:ascii="Times New Roman" w:hAnsi="Times New Roman" w:cs="Times New Roman"/>
          <w:b/>
          <w:bCs/>
          <w:color w:val="000000"/>
          <w:sz w:val="28"/>
          <w:szCs w:val="28"/>
        </w:rPr>
        <w:t>Michael Beraki*, Yosief Yohannes</w:t>
      </w:r>
      <w:r w:rsidRPr="002048EE">
        <w:rPr>
          <w:rFonts w:ascii="Times New Roman" w:hAnsi="Times New Roman" w:cs="Times New Roman"/>
          <w:b/>
          <w:bCs/>
          <w:color w:val="000000"/>
          <w:sz w:val="28"/>
          <w:szCs w:val="28"/>
          <w:vertAlign w:val="superscript"/>
        </w:rPr>
        <w:t>1</w:t>
      </w:r>
      <w:r>
        <w:rPr>
          <w:rFonts w:ascii="Times New Roman" w:hAnsi="Times New Roman" w:cs="Times New Roman"/>
          <w:b/>
          <w:bCs/>
          <w:color w:val="000000"/>
          <w:sz w:val="28"/>
          <w:szCs w:val="28"/>
        </w:rPr>
        <w:t>, Go</w:t>
      </w:r>
      <w:r w:rsidR="000627E5">
        <w:rPr>
          <w:rFonts w:ascii="Times New Roman" w:hAnsi="Times New Roman" w:cs="Times New Roman"/>
          <w:b/>
          <w:bCs/>
          <w:color w:val="000000"/>
          <w:sz w:val="28"/>
          <w:szCs w:val="28"/>
        </w:rPr>
        <w:t>e</w:t>
      </w:r>
      <w:r>
        <w:rPr>
          <w:rFonts w:ascii="Times New Roman" w:hAnsi="Times New Roman" w:cs="Times New Roman"/>
          <w:b/>
          <w:bCs/>
          <w:color w:val="000000"/>
          <w:sz w:val="28"/>
          <w:szCs w:val="28"/>
        </w:rPr>
        <w:t>tz Geldner</w:t>
      </w:r>
      <w:r w:rsidRPr="002048EE">
        <w:rPr>
          <w:rFonts w:ascii="Times New Roman" w:hAnsi="Times New Roman" w:cs="Times New Roman"/>
          <w:b/>
          <w:bCs/>
          <w:color w:val="000000"/>
          <w:sz w:val="28"/>
          <w:szCs w:val="28"/>
          <w:vertAlign w:val="superscript"/>
        </w:rPr>
        <w:t>2</w:t>
      </w:r>
      <w:r w:rsidR="00BF56AE">
        <w:rPr>
          <w:rFonts w:ascii="Times New Roman" w:hAnsi="Times New Roman" w:cs="Times New Roman"/>
          <w:b/>
          <w:bCs/>
          <w:color w:val="000000"/>
          <w:sz w:val="28"/>
          <w:szCs w:val="28"/>
        </w:rPr>
        <w:t>, John P.McDonough</w:t>
      </w:r>
      <w:r w:rsidR="00BF56AE">
        <w:rPr>
          <w:rFonts w:ascii="Times New Roman" w:hAnsi="Times New Roman" w:cs="Times New Roman"/>
          <w:b/>
          <w:bCs/>
          <w:color w:val="000000"/>
          <w:sz w:val="28"/>
          <w:szCs w:val="28"/>
          <w:vertAlign w:val="superscript"/>
        </w:rPr>
        <w:t>3</w:t>
      </w:r>
    </w:p>
    <w:p w:rsidR="002048EE" w:rsidRDefault="002048EE" w:rsidP="002048EE">
      <w:pPr>
        <w:rPr>
          <w:rFonts w:ascii="Times New Roman" w:hAnsi="Times New Roman" w:cs="Times New Roman"/>
          <w:bCs/>
          <w:color w:val="000000"/>
          <w:sz w:val="28"/>
          <w:szCs w:val="28"/>
        </w:rPr>
      </w:pPr>
      <w:r>
        <w:rPr>
          <w:rFonts w:ascii="Times New Roman" w:hAnsi="Times New Roman" w:cs="Times New Roman"/>
          <w:b/>
          <w:bCs/>
          <w:color w:val="000000"/>
          <w:sz w:val="28"/>
          <w:szCs w:val="28"/>
        </w:rPr>
        <w:t>*</w:t>
      </w:r>
      <w:r w:rsidR="00650364">
        <w:rPr>
          <w:rFonts w:ascii="Times New Roman" w:hAnsi="Times New Roman" w:cs="Times New Roman"/>
          <w:b/>
          <w:bCs/>
          <w:color w:val="000000"/>
          <w:sz w:val="28"/>
          <w:szCs w:val="28"/>
        </w:rPr>
        <w:t xml:space="preserve"> </w:t>
      </w:r>
      <w:r w:rsidRPr="002048EE">
        <w:rPr>
          <w:rFonts w:ascii="Times New Roman" w:hAnsi="Times New Roman" w:cs="Times New Roman"/>
          <w:bCs/>
          <w:color w:val="000000"/>
          <w:sz w:val="28"/>
          <w:szCs w:val="28"/>
        </w:rPr>
        <w:t>Asmara College of Health Sciences, School of Nursing, Department of Anesthesia</w:t>
      </w:r>
    </w:p>
    <w:p w:rsidR="002048EE" w:rsidRDefault="002048EE" w:rsidP="002048EE">
      <w:pPr>
        <w:rPr>
          <w:rFonts w:ascii="Times New Roman" w:hAnsi="Times New Roman" w:cs="Times New Roman"/>
          <w:bCs/>
          <w:color w:val="000000"/>
          <w:sz w:val="28"/>
          <w:szCs w:val="28"/>
        </w:rPr>
      </w:pPr>
      <w:r w:rsidRPr="002048EE">
        <w:rPr>
          <w:rFonts w:ascii="Times New Roman" w:hAnsi="Times New Roman" w:cs="Times New Roman"/>
          <w:bCs/>
          <w:color w:val="000000"/>
          <w:sz w:val="28"/>
          <w:szCs w:val="28"/>
          <w:vertAlign w:val="superscript"/>
        </w:rPr>
        <w:t>1</w:t>
      </w:r>
      <w:r>
        <w:rPr>
          <w:rFonts w:ascii="Times New Roman" w:hAnsi="Times New Roman" w:cs="Times New Roman"/>
          <w:bCs/>
          <w:color w:val="000000"/>
          <w:sz w:val="28"/>
          <w:szCs w:val="28"/>
          <w:vertAlign w:val="superscript"/>
        </w:rPr>
        <w:t xml:space="preserve"> </w:t>
      </w:r>
      <w:r>
        <w:rPr>
          <w:rFonts w:ascii="Times New Roman" w:hAnsi="Times New Roman" w:cs="Times New Roman"/>
          <w:bCs/>
          <w:color w:val="000000"/>
          <w:sz w:val="28"/>
          <w:szCs w:val="28"/>
        </w:rPr>
        <w:t>Halibet National Referral Hospital, Medical Director</w:t>
      </w:r>
    </w:p>
    <w:p w:rsidR="002048EE" w:rsidRDefault="00650364" w:rsidP="002048EE">
      <w:pPr>
        <w:rPr>
          <w:rFonts w:ascii="Times New Roman" w:hAnsi="Times New Roman" w:cs="Times New Roman"/>
          <w:bCs/>
          <w:color w:val="000000"/>
          <w:sz w:val="28"/>
          <w:szCs w:val="28"/>
        </w:rPr>
      </w:pPr>
      <w:r>
        <w:rPr>
          <w:rFonts w:ascii="Times New Roman" w:hAnsi="Times New Roman" w:cs="Times New Roman"/>
          <w:bCs/>
          <w:color w:val="000000"/>
          <w:sz w:val="28"/>
          <w:szCs w:val="28"/>
          <w:vertAlign w:val="superscript"/>
        </w:rPr>
        <w:t>2</w:t>
      </w:r>
      <w:r w:rsidR="002048EE">
        <w:rPr>
          <w:rFonts w:ascii="Times New Roman" w:hAnsi="Times New Roman" w:cs="Times New Roman"/>
          <w:bCs/>
          <w:color w:val="000000"/>
          <w:sz w:val="28"/>
          <w:szCs w:val="28"/>
          <w:vertAlign w:val="superscript"/>
        </w:rPr>
        <w:t xml:space="preserve"> </w:t>
      </w:r>
      <w:r w:rsidR="00BF56AE">
        <w:rPr>
          <w:rFonts w:ascii="Times New Roman" w:hAnsi="Times New Roman" w:cs="Times New Roman"/>
          <w:bCs/>
          <w:color w:val="000000"/>
          <w:sz w:val="28"/>
          <w:szCs w:val="28"/>
        </w:rPr>
        <w:t>Visiting Professor, Asmara College of Health sciences, School of Nursing, Department of Anesthesia</w:t>
      </w:r>
    </w:p>
    <w:p w:rsidR="00BF56AE" w:rsidRPr="00BF56AE" w:rsidRDefault="00BF56AE" w:rsidP="002048EE">
      <w:pPr>
        <w:rPr>
          <w:rFonts w:ascii="Times New Roman" w:hAnsi="Times New Roman" w:cs="Times New Roman"/>
          <w:bCs/>
          <w:color w:val="000000"/>
          <w:sz w:val="28"/>
          <w:szCs w:val="28"/>
        </w:rPr>
      </w:pPr>
      <w:r>
        <w:rPr>
          <w:rFonts w:ascii="Times New Roman" w:hAnsi="Times New Roman" w:cs="Times New Roman"/>
          <w:bCs/>
          <w:color w:val="000000"/>
          <w:sz w:val="28"/>
          <w:szCs w:val="28"/>
          <w:vertAlign w:val="superscript"/>
        </w:rPr>
        <w:t>3</w:t>
      </w:r>
      <w:r>
        <w:rPr>
          <w:rFonts w:ascii="Times New Roman" w:hAnsi="Times New Roman" w:cs="Times New Roman"/>
          <w:bCs/>
          <w:color w:val="000000"/>
          <w:sz w:val="28"/>
          <w:szCs w:val="28"/>
        </w:rPr>
        <w:t xml:space="preserve">Professor </w:t>
      </w:r>
      <w:r w:rsidR="00AA53BA">
        <w:rPr>
          <w:rFonts w:ascii="Times New Roman" w:hAnsi="Times New Roman" w:cs="Times New Roman"/>
          <w:bCs/>
          <w:color w:val="000000"/>
          <w:sz w:val="28"/>
          <w:szCs w:val="28"/>
        </w:rPr>
        <w:t>&amp;</w:t>
      </w:r>
      <w:r>
        <w:rPr>
          <w:rFonts w:ascii="Times New Roman" w:hAnsi="Times New Roman" w:cs="Times New Roman"/>
          <w:bCs/>
          <w:color w:val="000000"/>
          <w:sz w:val="28"/>
          <w:szCs w:val="28"/>
        </w:rPr>
        <w:t xml:space="preserve"> Director, Anesthesiology Nursing, University of North Florida</w:t>
      </w:r>
    </w:p>
    <w:p w:rsidR="000627E5" w:rsidRDefault="000627E5" w:rsidP="00FF60AC">
      <w:pPr>
        <w:jc w:val="both"/>
        <w:rPr>
          <w:rFonts w:ascii="Times New Roman" w:hAnsi="Times New Roman" w:cs="Times New Roman"/>
          <w:b/>
          <w:bCs/>
          <w:sz w:val="24"/>
          <w:szCs w:val="20"/>
        </w:rPr>
      </w:pPr>
    </w:p>
    <w:p w:rsidR="00FB5D69" w:rsidRPr="00427040" w:rsidRDefault="00FB5D69" w:rsidP="00FF60AC">
      <w:pPr>
        <w:jc w:val="both"/>
        <w:rPr>
          <w:rFonts w:ascii="Times New Roman" w:hAnsi="Times New Roman" w:cs="Times New Roman"/>
          <w:b/>
          <w:bCs/>
          <w:sz w:val="24"/>
          <w:szCs w:val="20"/>
        </w:rPr>
      </w:pPr>
      <w:r w:rsidRPr="00427040">
        <w:rPr>
          <w:rFonts w:ascii="Times New Roman" w:hAnsi="Times New Roman" w:cs="Times New Roman"/>
          <w:b/>
          <w:bCs/>
          <w:sz w:val="24"/>
          <w:szCs w:val="20"/>
        </w:rPr>
        <w:t>Abstract</w:t>
      </w:r>
    </w:p>
    <w:p w:rsidR="00FB5D69" w:rsidRPr="00CF5EFF" w:rsidRDefault="00FB5D69" w:rsidP="00FF60AC">
      <w:pPr>
        <w:jc w:val="both"/>
        <w:rPr>
          <w:rFonts w:ascii="Times New Roman" w:hAnsi="Times New Roman" w:cs="Times New Roman"/>
          <w:b/>
          <w:sz w:val="20"/>
          <w:szCs w:val="20"/>
        </w:rPr>
      </w:pPr>
      <w:r w:rsidRPr="00CF5EFF">
        <w:rPr>
          <w:rFonts w:ascii="Times New Roman" w:hAnsi="Times New Roman" w:cs="Times New Roman"/>
          <w:b/>
          <w:bCs/>
          <w:sz w:val="20"/>
          <w:szCs w:val="20"/>
        </w:rPr>
        <w:t xml:space="preserve">Introduction: </w:t>
      </w:r>
      <w:r w:rsidRPr="00CF5EFF">
        <w:rPr>
          <w:rFonts w:ascii="Times New Roman" w:hAnsi="Times New Roman" w:cs="Times New Roman"/>
          <w:sz w:val="20"/>
          <w:szCs w:val="20"/>
        </w:rPr>
        <w:t xml:space="preserve">Preoperative fasting is vital in preventing pulmonary aspiration, regurgitation and vomiting </w:t>
      </w:r>
      <w:r w:rsidR="00BF56AE">
        <w:rPr>
          <w:rFonts w:ascii="Times New Roman" w:hAnsi="Times New Roman" w:cs="Times New Roman"/>
          <w:sz w:val="20"/>
          <w:szCs w:val="20"/>
        </w:rPr>
        <w:t>during the</w:t>
      </w:r>
      <w:r w:rsidRPr="00CF5EFF">
        <w:rPr>
          <w:rFonts w:ascii="Times New Roman" w:hAnsi="Times New Roman" w:cs="Times New Roman"/>
          <w:sz w:val="20"/>
          <w:szCs w:val="20"/>
        </w:rPr>
        <w:t xml:space="preserve"> induction of anesthesia. Every patient scheduled for surgery including pregnant mothers need to be on fasting for certain period of time. Women undergoing cesarean section need full energy for themselves and the fetus to overcome the </w:t>
      </w:r>
      <w:r w:rsidR="00BF56AE">
        <w:rPr>
          <w:rFonts w:ascii="Times New Roman" w:hAnsi="Times New Roman" w:cs="Times New Roman"/>
          <w:sz w:val="20"/>
          <w:szCs w:val="20"/>
        </w:rPr>
        <w:t>stress</w:t>
      </w:r>
      <w:r w:rsidRPr="00CF5EFF">
        <w:rPr>
          <w:rFonts w:ascii="Times New Roman" w:hAnsi="Times New Roman" w:cs="Times New Roman"/>
          <w:sz w:val="20"/>
          <w:szCs w:val="20"/>
        </w:rPr>
        <w:t xml:space="preserve"> of birth. However, fasting time </w:t>
      </w:r>
      <w:r w:rsidR="00BF56AE">
        <w:rPr>
          <w:rFonts w:ascii="Times New Roman" w:hAnsi="Times New Roman" w:cs="Times New Roman"/>
          <w:sz w:val="20"/>
          <w:szCs w:val="20"/>
        </w:rPr>
        <w:t xml:space="preserve">in Eritrea </w:t>
      </w:r>
      <w:r w:rsidRPr="00CF5EFF">
        <w:rPr>
          <w:rFonts w:ascii="Times New Roman" w:hAnsi="Times New Roman" w:cs="Times New Roman"/>
          <w:sz w:val="20"/>
          <w:szCs w:val="20"/>
        </w:rPr>
        <w:t>is</w:t>
      </w:r>
      <w:r w:rsidR="00BF56AE">
        <w:rPr>
          <w:rFonts w:ascii="Times New Roman" w:hAnsi="Times New Roman" w:cs="Times New Roman"/>
          <w:sz w:val="20"/>
          <w:szCs w:val="20"/>
        </w:rPr>
        <w:t xml:space="preserve"> generally</w:t>
      </w:r>
      <w:r w:rsidRPr="00CF5EFF">
        <w:rPr>
          <w:rFonts w:ascii="Times New Roman" w:hAnsi="Times New Roman" w:cs="Times New Roman"/>
          <w:sz w:val="20"/>
          <w:szCs w:val="20"/>
        </w:rPr>
        <w:t xml:space="preserve"> longer than is </w:t>
      </w:r>
      <w:r w:rsidR="00BF56AE">
        <w:rPr>
          <w:rFonts w:ascii="Times New Roman" w:hAnsi="Times New Roman" w:cs="Times New Roman"/>
          <w:sz w:val="20"/>
          <w:szCs w:val="20"/>
        </w:rPr>
        <w:t>recommended</w:t>
      </w:r>
      <w:r w:rsidRPr="00CF5EFF">
        <w:rPr>
          <w:rFonts w:ascii="Times New Roman" w:hAnsi="Times New Roman" w:cs="Times New Roman"/>
          <w:sz w:val="20"/>
          <w:szCs w:val="20"/>
        </w:rPr>
        <w:t xml:space="preserve"> by American Society of An</w:t>
      </w:r>
      <w:r w:rsidR="00BF56AE">
        <w:rPr>
          <w:rFonts w:ascii="Times New Roman" w:hAnsi="Times New Roman" w:cs="Times New Roman"/>
          <w:sz w:val="20"/>
          <w:szCs w:val="20"/>
        </w:rPr>
        <w:t>esthesiologists. P</w:t>
      </w:r>
      <w:r w:rsidRPr="00CF5EFF">
        <w:rPr>
          <w:rFonts w:ascii="Times New Roman" w:hAnsi="Times New Roman" w:cs="Times New Roman"/>
          <w:sz w:val="20"/>
          <w:szCs w:val="20"/>
        </w:rPr>
        <w:t>rolonged fasting</w:t>
      </w:r>
      <w:r w:rsidR="002048EE">
        <w:rPr>
          <w:rFonts w:ascii="Times New Roman" w:hAnsi="Times New Roman" w:cs="Times New Roman"/>
          <w:sz w:val="20"/>
          <w:szCs w:val="20"/>
        </w:rPr>
        <w:t xml:space="preserve"> time</w:t>
      </w:r>
      <w:r w:rsidRPr="00CF5EFF">
        <w:rPr>
          <w:rFonts w:ascii="Times New Roman" w:hAnsi="Times New Roman" w:cs="Times New Roman"/>
          <w:sz w:val="20"/>
          <w:szCs w:val="20"/>
        </w:rPr>
        <w:t xml:space="preserve"> has undesirable effects including, nausea, vomiting, dizziness, thirst, hunger etc. </w:t>
      </w:r>
      <w:r w:rsidRPr="00CF5EFF">
        <w:rPr>
          <w:rFonts w:ascii="Times New Roman" w:hAnsi="Times New Roman" w:cs="Times New Roman"/>
          <w:b/>
          <w:bCs/>
          <w:sz w:val="20"/>
          <w:szCs w:val="20"/>
        </w:rPr>
        <w:t xml:space="preserve">Objectives: </w:t>
      </w:r>
      <w:r w:rsidR="00BF56AE">
        <w:rPr>
          <w:rFonts w:ascii="Times New Roman" w:hAnsi="Times New Roman" w:cs="Times New Roman"/>
          <w:sz w:val="20"/>
          <w:szCs w:val="20"/>
        </w:rPr>
        <w:t>This study</w:t>
      </w:r>
      <w:r w:rsidRPr="00CF5EFF">
        <w:rPr>
          <w:rFonts w:ascii="Times New Roman" w:hAnsi="Times New Roman" w:cs="Times New Roman"/>
          <w:sz w:val="20"/>
          <w:szCs w:val="20"/>
        </w:rPr>
        <w:t xml:space="preserve"> compare</w:t>
      </w:r>
      <w:r w:rsidR="00BF56AE">
        <w:rPr>
          <w:rFonts w:ascii="Times New Roman" w:hAnsi="Times New Roman" w:cs="Times New Roman"/>
          <w:sz w:val="20"/>
          <w:szCs w:val="20"/>
        </w:rPr>
        <w:t>d</w:t>
      </w:r>
      <w:r w:rsidRPr="00CF5EFF">
        <w:rPr>
          <w:rFonts w:ascii="Times New Roman" w:hAnsi="Times New Roman" w:cs="Times New Roman"/>
          <w:sz w:val="20"/>
          <w:szCs w:val="20"/>
        </w:rPr>
        <w:t xml:space="preserve"> the associated discomforts between traditional versus instructing standard guidelines of fasting times among mothers undergoing elective cesarean section. </w:t>
      </w:r>
      <w:r w:rsidRPr="00CF5EFF">
        <w:rPr>
          <w:rFonts w:ascii="Times New Roman" w:hAnsi="Times New Roman" w:cs="Times New Roman"/>
          <w:b/>
          <w:bCs/>
          <w:sz w:val="20"/>
          <w:szCs w:val="20"/>
        </w:rPr>
        <w:t xml:space="preserve">Methods: </w:t>
      </w:r>
      <w:r w:rsidRPr="00CF5EFF">
        <w:rPr>
          <w:rFonts w:ascii="Times New Roman" w:hAnsi="Times New Roman" w:cs="Times New Roman"/>
          <w:sz w:val="20"/>
          <w:szCs w:val="20"/>
        </w:rPr>
        <w:t>A non-randomized clinical trials among 106 mothers was conducted. Two groups for comparisons in two different hospitals were selected</w:t>
      </w:r>
      <w:r w:rsidR="00CF5EFF" w:rsidRPr="00CF5EFF">
        <w:rPr>
          <w:rFonts w:ascii="Times New Roman" w:hAnsi="Times New Roman" w:cs="Times New Roman"/>
          <w:sz w:val="20"/>
          <w:szCs w:val="20"/>
        </w:rPr>
        <w:t>.</w:t>
      </w:r>
      <w:r w:rsidRPr="00CF5EFF">
        <w:rPr>
          <w:rFonts w:ascii="Times New Roman" w:hAnsi="Times New Roman" w:cs="Times New Roman"/>
          <w:sz w:val="20"/>
          <w:szCs w:val="20"/>
        </w:rPr>
        <w:t xml:space="preserve"> One group received instructions of preoperative fasting according to the American Society of Anesthesiologists Task Force guidelines and the other group followed through the traditional approaches, i.e. “nothing by mouth after mid-night”. </w:t>
      </w:r>
      <w:r w:rsidRPr="00CF5EFF">
        <w:rPr>
          <w:rFonts w:ascii="Times New Roman" w:hAnsi="Times New Roman" w:cs="Times New Roman"/>
          <w:b/>
          <w:bCs/>
          <w:sz w:val="20"/>
          <w:szCs w:val="20"/>
        </w:rPr>
        <w:t xml:space="preserve">Results: </w:t>
      </w:r>
      <w:r w:rsidRPr="00CF5EFF">
        <w:rPr>
          <w:rFonts w:ascii="Times New Roman" w:hAnsi="Times New Roman" w:cs="Times New Roman"/>
          <w:sz w:val="20"/>
          <w:szCs w:val="20"/>
        </w:rPr>
        <w:t>Mild to moderate degrees of discomforts was seen in the study participants. Feelings of thirst and hunger were the serious discomforts experienced. The associated discomforts were not determined to be significantly different (</w:t>
      </w:r>
      <w:r w:rsidRPr="00CF5EFF">
        <w:rPr>
          <w:rFonts w:ascii="Times New Roman" w:hAnsi="Times New Roman" w:cs="Times New Roman"/>
          <w:i/>
          <w:iCs/>
          <w:sz w:val="20"/>
          <w:szCs w:val="20"/>
        </w:rPr>
        <w:t>p</w:t>
      </w:r>
      <w:r w:rsidRPr="00CF5EFF">
        <w:rPr>
          <w:rFonts w:ascii="Times New Roman" w:hAnsi="Times New Roman" w:cs="Times New Roman"/>
          <w:sz w:val="20"/>
          <w:szCs w:val="20"/>
        </w:rPr>
        <w:t xml:space="preserve">=0.256) among the two groups of comparison. </w:t>
      </w:r>
      <w:r w:rsidRPr="00CF5EFF">
        <w:rPr>
          <w:rFonts w:ascii="Times New Roman" w:hAnsi="Times New Roman" w:cs="Times New Roman"/>
          <w:b/>
          <w:bCs/>
          <w:sz w:val="20"/>
          <w:szCs w:val="20"/>
        </w:rPr>
        <w:t xml:space="preserve">Conclusion: </w:t>
      </w:r>
      <w:r w:rsidRPr="00CF5EFF">
        <w:rPr>
          <w:rFonts w:ascii="Times New Roman" w:hAnsi="Times New Roman" w:cs="Times New Roman"/>
          <w:sz w:val="20"/>
          <w:szCs w:val="20"/>
        </w:rPr>
        <w:t xml:space="preserve">The study concluded that the associated discomforts </w:t>
      </w:r>
      <w:r w:rsidR="00BF56AE">
        <w:rPr>
          <w:rFonts w:ascii="Times New Roman" w:hAnsi="Times New Roman" w:cs="Times New Roman"/>
          <w:sz w:val="20"/>
          <w:szCs w:val="20"/>
        </w:rPr>
        <w:t>were not statistically</w:t>
      </w:r>
      <w:r w:rsidRPr="00CF5EFF">
        <w:rPr>
          <w:rFonts w:ascii="Times New Roman" w:hAnsi="Times New Roman" w:cs="Times New Roman"/>
          <w:sz w:val="20"/>
          <w:szCs w:val="20"/>
        </w:rPr>
        <w:t xml:space="preserve"> differen</w:t>
      </w:r>
      <w:r w:rsidR="00BF56AE">
        <w:rPr>
          <w:rFonts w:ascii="Times New Roman" w:hAnsi="Times New Roman" w:cs="Times New Roman"/>
          <w:sz w:val="20"/>
          <w:szCs w:val="20"/>
        </w:rPr>
        <w:t>t</w:t>
      </w:r>
      <w:r w:rsidRPr="00CF5EFF">
        <w:rPr>
          <w:rFonts w:ascii="Times New Roman" w:hAnsi="Times New Roman" w:cs="Times New Roman"/>
          <w:sz w:val="20"/>
          <w:szCs w:val="20"/>
        </w:rPr>
        <w:t xml:space="preserve"> between the traditional and standard groups. There was mild to moderate degrees of discomforts in both groups of study. Though the finding shows similar magnitude of discomforts between the two comparison groups</w:t>
      </w:r>
      <w:r w:rsidR="00BF56AE">
        <w:rPr>
          <w:rFonts w:ascii="Times New Roman" w:hAnsi="Times New Roman" w:cs="Times New Roman"/>
          <w:sz w:val="20"/>
          <w:szCs w:val="20"/>
        </w:rPr>
        <w:t xml:space="preserve">, postoperative discomforts appear to </w:t>
      </w:r>
      <w:r w:rsidRPr="00CF5EFF">
        <w:rPr>
          <w:rFonts w:ascii="Times New Roman" w:hAnsi="Times New Roman" w:cs="Times New Roman"/>
          <w:sz w:val="20"/>
          <w:szCs w:val="20"/>
        </w:rPr>
        <w:t>worse</w:t>
      </w:r>
      <w:r w:rsidR="00BF56AE">
        <w:rPr>
          <w:rFonts w:ascii="Times New Roman" w:hAnsi="Times New Roman" w:cs="Times New Roman"/>
          <w:sz w:val="20"/>
          <w:szCs w:val="20"/>
        </w:rPr>
        <w:t>n</w:t>
      </w:r>
      <w:r w:rsidRPr="00CF5EFF">
        <w:rPr>
          <w:rFonts w:ascii="Times New Roman" w:hAnsi="Times New Roman" w:cs="Times New Roman"/>
          <w:sz w:val="20"/>
          <w:szCs w:val="20"/>
        </w:rPr>
        <w:t xml:space="preserve"> as the timing of fasting increases</w:t>
      </w:r>
      <w:r w:rsidR="00CF5EFF" w:rsidRPr="00CF5EFF">
        <w:rPr>
          <w:rFonts w:ascii="Times New Roman" w:hAnsi="Times New Roman" w:cs="Times New Roman"/>
          <w:sz w:val="20"/>
          <w:szCs w:val="20"/>
        </w:rPr>
        <w:t>.</w:t>
      </w:r>
    </w:p>
    <w:p w:rsidR="00F43DC9" w:rsidRPr="00C36B15" w:rsidRDefault="00C36B15" w:rsidP="00C36B15">
      <w:pPr>
        <w:jc w:val="both"/>
        <w:rPr>
          <w:rFonts w:ascii="Times New Roman" w:hAnsi="Times New Roman" w:cs="Times New Roman"/>
          <w:b/>
          <w:sz w:val="24"/>
          <w:szCs w:val="24"/>
        </w:rPr>
      </w:pPr>
      <w:r>
        <w:rPr>
          <w:rFonts w:ascii="Times New Roman" w:hAnsi="Times New Roman" w:cs="Times New Roman"/>
          <w:b/>
          <w:sz w:val="24"/>
          <w:szCs w:val="24"/>
        </w:rPr>
        <w:t xml:space="preserve">1. </w:t>
      </w:r>
      <w:r w:rsidR="00F43DC9" w:rsidRPr="00C36B15">
        <w:rPr>
          <w:rFonts w:ascii="Times New Roman" w:hAnsi="Times New Roman" w:cs="Times New Roman"/>
          <w:b/>
          <w:sz w:val="24"/>
          <w:szCs w:val="24"/>
        </w:rPr>
        <w:t>Introduction</w:t>
      </w:r>
    </w:p>
    <w:p w:rsidR="0087681B" w:rsidRPr="00FB5D69" w:rsidRDefault="00E549A6" w:rsidP="00FF60AC">
      <w:pPr>
        <w:jc w:val="both"/>
        <w:rPr>
          <w:rFonts w:ascii="Times New Roman" w:hAnsi="Times New Roman" w:cs="Times New Roman"/>
          <w:sz w:val="20"/>
          <w:szCs w:val="20"/>
        </w:rPr>
      </w:pPr>
      <w:r w:rsidRPr="00FB5D69">
        <w:rPr>
          <w:rFonts w:ascii="Times New Roman" w:hAnsi="Times New Roman" w:cs="Times New Roman"/>
          <w:sz w:val="20"/>
          <w:szCs w:val="20"/>
        </w:rPr>
        <w:t xml:space="preserve">Preoperative fasting is the term </w:t>
      </w:r>
      <w:r w:rsidR="004E5886">
        <w:rPr>
          <w:rFonts w:ascii="Times New Roman" w:hAnsi="Times New Roman" w:cs="Times New Roman"/>
          <w:sz w:val="20"/>
          <w:szCs w:val="20"/>
        </w:rPr>
        <w:t>applied</w:t>
      </w:r>
      <w:r w:rsidRPr="00FB5D69">
        <w:rPr>
          <w:rFonts w:ascii="Times New Roman" w:hAnsi="Times New Roman" w:cs="Times New Roman"/>
          <w:sz w:val="20"/>
          <w:szCs w:val="20"/>
        </w:rPr>
        <w:t xml:space="preserve"> to the period of abstinence from oral food and fluids for a period of time before a patient goes to surgery. </w:t>
      </w:r>
      <w:r w:rsidR="00B23319" w:rsidRPr="00FB5D69">
        <w:rPr>
          <w:rFonts w:ascii="Times New Roman" w:hAnsi="Times New Roman" w:cs="Times New Roman"/>
          <w:sz w:val="20"/>
          <w:szCs w:val="20"/>
        </w:rPr>
        <w:t>Ludwig (2013) and Gunawardhana (2012) claimed that preoperative fasting has been accepted at the beginning of anesthetic pr</w:t>
      </w:r>
      <w:r w:rsidR="004E5886">
        <w:rPr>
          <w:rFonts w:ascii="Times New Roman" w:hAnsi="Times New Roman" w:cs="Times New Roman"/>
          <w:sz w:val="20"/>
          <w:szCs w:val="20"/>
        </w:rPr>
        <w:t xml:space="preserve">actice to prevent regurgitation and </w:t>
      </w:r>
      <w:r w:rsidR="00B23319" w:rsidRPr="00FB5D69">
        <w:rPr>
          <w:rFonts w:ascii="Times New Roman" w:hAnsi="Times New Roman" w:cs="Times New Roman"/>
          <w:sz w:val="20"/>
          <w:szCs w:val="20"/>
        </w:rPr>
        <w:t>aspiration</w:t>
      </w:r>
      <w:r w:rsidR="00B23319" w:rsidRPr="00FB5D69">
        <w:rPr>
          <w:sz w:val="20"/>
          <w:szCs w:val="20"/>
        </w:rPr>
        <w:t xml:space="preserve">. </w:t>
      </w:r>
      <w:r w:rsidRPr="00FB5D69">
        <w:rPr>
          <w:rFonts w:ascii="Times New Roman" w:hAnsi="Times New Roman" w:cs="Times New Roman"/>
          <w:sz w:val="20"/>
          <w:szCs w:val="20"/>
        </w:rPr>
        <w:t xml:space="preserve">Clinically significant pulmonary aspiration during general anesthesia is rare in healthy patients having elective surgery. Majority of studies that were conducted reported an incidence of 1 in approximately 10,000 patients, with no deaths in more than 200,000 cases (Maltby, 2000). </w:t>
      </w:r>
    </w:p>
    <w:p w:rsidR="00B23319" w:rsidRDefault="00E549A6" w:rsidP="00FF60AC">
      <w:pPr>
        <w:jc w:val="both"/>
        <w:rPr>
          <w:rFonts w:ascii="Times New Roman" w:hAnsi="Times New Roman" w:cs="Times New Roman"/>
          <w:sz w:val="20"/>
          <w:szCs w:val="20"/>
        </w:rPr>
      </w:pPr>
      <w:r w:rsidRPr="00FB5D69">
        <w:rPr>
          <w:rFonts w:ascii="Times New Roman" w:hAnsi="Times New Roman" w:cs="Times New Roman"/>
          <w:sz w:val="20"/>
          <w:szCs w:val="20"/>
        </w:rPr>
        <w:t xml:space="preserve">One of the important cause of maternal mortality and morbidity is aspiration of gastric contents due to gastrointestinal changes in pregnancy. The prevalence of aspiration pneumonia in pregnant women is </w:t>
      </w:r>
      <w:r w:rsidR="008305FB">
        <w:rPr>
          <w:rFonts w:ascii="Times New Roman" w:hAnsi="Times New Roman" w:cs="Times New Roman"/>
          <w:sz w:val="20"/>
          <w:szCs w:val="20"/>
        </w:rPr>
        <w:t>significantly</w:t>
      </w:r>
      <w:r w:rsidRPr="00FB5D69">
        <w:rPr>
          <w:rFonts w:ascii="Times New Roman" w:hAnsi="Times New Roman" w:cs="Times New Roman"/>
          <w:sz w:val="20"/>
          <w:szCs w:val="20"/>
        </w:rPr>
        <w:t xml:space="preserve"> higher than in others (0.11% in cesarean section) (</w:t>
      </w:r>
      <w:proofErr w:type="spellStart"/>
      <w:r w:rsidRPr="00FB5D69">
        <w:rPr>
          <w:rFonts w:ascii="Times New Roman" w:hAnsi="Times New Roman" w:cs="Times New Roman"/>
          <w:sz w:val="20"/>
          <w:szCs w:val="20"/>
        </w:rPr>
        <w:t>Janda</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Scheeren</w:t>
      </w:r>
      <w:proofErr w:type="spellEnd"/>
      <w:r w:rsidRPr="00FB5D69">
        <w:rPr>
          <w:rFonts w:ascii="Times New Roman" w:hAnsi="Times New Roman" w:cs="Times New Roman"/>
          <w:sz w:val="20"/>
          <w:szCs w:val="20"/>
        </w:rPr>
        <w:t xml:space="preserve"> &amp; </w:t>
      </w:r>
      <w:proofErr w:type="spellStart"/>
      <w:r w:rsidRPr="00FB5D69">
        <w:rPr>
          <w:rFonts w:ascii="Times New Roman" w:hAnsi="Times New Roman" w:cs="Times New Roman"/>
          <w:sz w:val="20"/>
          <w:szCs w:val="20"/>
        </w:rPr>
        <w:t>Noldge-Schomburg</w:t>
      </w:r>
      <w:proofErr w:type="spellEnd"/>
      <w:r w:rsidRPr="00FB5D69">
        <w:rPr>
          <w:rFonts w:ascii="Times New Roman" w:hAnsi="Times New Roman" w:cs="Times New Roman"/>
          <w:sz w:val="20"/>
          <w:szCs w:val="20"/>
        </w:rPr>
        <w:t>, 2006).</w:t>
      </w:r>
      <w:r w:rsidR="00690C0B" w:rsidRPr="00FB5D69">
        <w:rPr>
          <w:sz w:val="20"/>
          <w:szCs w:val="20"/>
        </w:rPr>
        <w:t xml:space="preserve"> </w:t>
      </w:r>
      <w:r w:rsidR="00690C0B" w:rsidRPr="00FB5D69">
        <w:rPr>
          <w:rFonts w:ascii="Times New Roman" w:hAnsi="Times New Roman" w:cs="Times New Roman"/>
          <w:sz w:val="20"/>
          <w:szCs w:val="20"/>
        </w:rPr>
        <w:t xml:space="preserve">However, the process of labor is </w:t>
      </w:r>
      <w:r w:rsidR="00690C0B" w:rsidRPr="00FB5D69">
        <w:rPr>
          <w:rFonts w:ascii="Times New Roman" w:hAnsi="Times New Roman" w:cs="Times New Roman"/>
          <w:sz w:val="20"/>
          <w:szCs w:val="20"/>
        </w:rPr>
        <w:lastRenderedPageBreak/>
        <w:t xml:space="preserve">energy consuming, requiring as much energy as athletics and, thus, necessitates a carbohydrate enriched diet. If carbohydrate deficiency occurs throughout the labor, it leads to ketoacidosis which is dangerous for both fetus and mother (Macdonald &amp; Magil, 2011). On the other hand fluid deficiency can cause poor utero placental blood circulation, which can lead to prolonged labor </w:t>
      </w:r>
      <w:r w:rsidR="008C1743">
        <w:rPr>
          <w:rFonts w:ascii="Times New Roman" w:hAnsi="Times New Roman" w:cs="Times New Roman"/>
          <w:sz w:val="20"/>
          <w:szCs w:val="20"/>
        </w:rPr>
        <w:t>that may lead to administration of</w:t>
      </w:r>
      <w:r w:rsidR="00690C0B" w:rsidRPr="00FB5D69">
        <w:rPr>
          <w:rFonts w:ascii="Times New Roman" w:hAnsi="Times New Roman" w:cs="Times New Roman"/>
          <w:sz w:val="20"/>
          <w:szCs w:val="20"/>
        </w:rPr>
        <w:t xml:space="preserve"> oxytocin (Direkvand-Moghadam &amp; Rezaeian, 2012).</w:t>
      </w:r>
      <w:r w:rsidR="00690C0B" w:rsidRPr="00FB5D69">
        <w:rPr>
          <w:sz w:val="20"/>
          <w:szCs w:val="20"/>
        </w:rPr>
        <w:t xml:space="preserve"> </w:t>
      </w:r>
      <w:r w:rsidR="00690C0B" w:rsidRPr="00FB5D69">
        <w:rPr>
          <w:rFonts w:ascii="Times New Roman" w:hAnsi="Times New Roman" w:cs="Times New Roman"/>
          <w:sz w:val="20"/>
          <w:szCs w:val="20"/>
        </w:rPr>
        <w:t xml:space="preserve">The main reason for restriction of oral fluid intake during labor is the possibility of urgent need for cesarean section (Gyte &amp; Richens, 2006). In recent years, several studies emphasized that although oral intake of clear liquids is safe 2 hours prior to elective surgeries,(Lopez, 2002) there is still a doubt on parturients who may need urgent cesarean section at any moment (Cunningham, 2001). </w:t>
      </w:r>
    </w:p>
    <w:p w:rsidR="00C36B15" w:rsidRPr="00FB5D69" w:rsidRDefault="00C36B15" w:rsidP="00FF60AC">
      <w:pPr>
        <w:jc w:val="both"/>
        <w:rPr>
          <w:rFonts w:ascii="Times New Roman" w:hAnsi="Times New Roman" w:cs="Times New Roman"/>
          <w:sz w:val="20"/>
          <w:szCs w:val="20"/>
        </w:rPr>
      </w:pPr>
      <w:r>
        <w:rPr>
          <w:rFonts w:ascii="Times New Roman" w:hAnsi="Times New Roman" w:cs="Times New Roman"/>
          <w:sz w:val="20"/>
          <w:szCs w:val="20"/>
        </w:rPr>
        <w:t>However, from anecdotal observation many mother undergoing elective cesarean section experience feeling of discomforts such as; hunger, thirst, epigastric pain, dizziness and so on.</w:t>
      </w:r>
    </w:p>
    <w:p w:rsidR="00A77746" w:rsidRPr="00FB5D69" w:rsidRDefault="00927F1E" w:rsidP="00FF60AC">
      <w:pPr>
        <w:jc w:val="both"/>
        <w:rPr>
          <w:rFonts w:ascii="Times New Roman" w:hAnsi="Times New Roman" w:cs="Times New Roman"/>
          <w:sz w:val="20"/>
          <w:szCs w:val="20"/>
        </w:rPr>
      </w:pPr>
      <w:r w:rsidRPr="00FB5D69">
        <w:rPr>
          <w:rFonts w:ascii="Times New Roman" w:hAnsi="Times New Roman" w:cs="Times New Roman"/>
          <w:sz w:val="20"/>
          <w:szCs w:val="20"/>
        </w:rPr>
        <w:t>Although traditional long-term fasting is not recommended in current guidelines, in practice it is still widely used (Dolgun et al., 2011; Aygin</w:t>
      </w:r>
      <w:r w:rsidR="00AB3C80" w:rsidRPr="00FB5D69">
        <w:rPr>
          <w:rFonts w:ascii="Times New Roman" w:hAnsi="Times New Roman" w:cs="Times New Roman"/>
          <w:sz w:val="20"/>
          <w:szCs w:val="20"/>
        </w:rPr>
        <w:t>,</w:t>
      </w:r>
      <w:r w:rsidRPr="00FB5D69">
        <w:rPr>
          <w:rFonts w:ascii="Times New Roman" w:hAnsi="Times New Roman" w:cs="Times New Roman"/>
          <w:sz w:val="20"/>
          <w:szCs w:val="20"/>
        </w:rPr>
        <w:t xml:space="preserve"> 2012)</w:t>
      </w:r>
      <w:r w:rsidRPr="00FB5D69">
        <w:rPr>
          <w:sz w:val="20"/>
          <w:szCs w:val="20"/>
        </w:rPr>
        <w:t xml:space="preserve">. </w:t>
      </w:r>
      <w:r w:rsidR="0087681B" w:rsidRPr="00FB5D69">
        <w:rPr>
          <w:rFonts w:ascii="Times New Roman" w:hAnsi="Times New Roman" w:cs="Times New Roman"/>
          <w:sz w:val="20"/>
          <w:szCs w:val="20"/>
        </w:rPr>
        <w:t>Therefore, t</w:t>
      </w:r>
      <w:r w:rsidR="00690C0B" w:rsidRPr="00FB5D69">
        <w:rPr>
          <w:rFonts w:ascii="Times New Roman" w:hAnsi="Times New Roman" w:cs="Times New Roman"/>
          <w:sz w:val="20"/>
          <w:szCs w:val="20"/>
        </w:rPr>
        <w:t xml:space="preserve">his </w:t>
      </w:r>
      <w:r w:rsidR="008C1743">
        <w:rPr>
          <w:rFonts w:ascii="Times New Roman" w:hAnsi="Times New Roman" w:cs="Times New Roman"/>
          <w:sz w:val="20"/>
          <w:szCs w:val="20"/>
        </w:rPr>
        <w:t>paper</w:t>
      </w:r>
      <w:r w:rsidR="001453EE">
        <w:rPr>
          <w:rFonts w:ascii="Times New Roman" w:hAnsi="Times New Roman" w:cs="Times New Roman"/>
          <w:sz w:val="20"/>
          <w:szCs w:val="20"/>
        </w:rPr>
        <w:t xml:space="preserve"> compare</w:t>
      </w:r>
      <w:r w:rsidR="008C1743">
        <w:rPr>
          <w:rFonts w:ascii="Times New Roman" w:hAnsi="Times New Roman" w:cs="Times New Roman"/>
          <w:sz w:val="20"/>
          <w:szCs w:val="20"/>
        </w:rPr>
        <w:t>d</w:t>
      </w:r>
      <w:r w:rsidR="001453EE">
        <w:rPr>
          <w:rFonts w:ascii="Times New Roman" w:hAnsi="Times New Roman" w:cs="Times New Roman"/>
          <w:sz w:val="20"/>
          <w:szCs w:val="20"/>
        </w:rPr>
        <w:t xml:space="preserve"> the</w:t>
      </w:r>
      <w:r w:rsidR="00B23319" w:rsidRPr="00FB5D69">
        <w:rPr>
          <w:rFonts w:ascii="Times New Roman" w:hAnsi="Times New Roman" w:cs="Times New Roman"/>
          <w:sz w:val="20"/>
          <w:szCs w:val="20"/>
        </w:rPr>
        <w:t xml:space="preserve"> associated discomforts</w:t>
      </w:r>
      <w:r w:rsidR="00690C0B" w:rsidRPr="00FB5D69">
        <w:rPr>
          <w:rFonts w:ascii="Times New Roman" w:hAnsi="Times New Roman" w:cs="Times New Roman"/>
          <w:sz w:val="20"/>
          <w:szCs w:val="20"/>
        </w:rPr>
        <w:t xml:space="preserve"> of fasting from midnight versus fasting according to ASA guidelines in mothers </w:t>
      </w:r>
      <w:r w:rsidR="0087681B" w:rsidRPr="00FB5D69">
        <w:rPr>
          <w:rFonts w:ascii="Times New Roman" w:hAnsi="Times New Roman" w:cs="Times New Roman"/>
          <w:sz w:val="20"/>
          <w:szCs w:val="20"/>
        </w:rPr>
        <w:t>undergoing</w:t>
      </w:r>
      <w:r w:rsidR="00690C0B" w:rsidRPr="00FB5D69">
        <w:rPr>
          <w:rFonts w:ascii="Times New Roman" w:hAnsi="Times New Roman" w:cs="Times New Roman"/>
          <w:sz w:val="20"/>
          <w:szCs w:val="20"/>
        </w:rPr>
        <w:t xml:space="preserve"> elective cesarean section. </w:t>
      </w:r>
    </w:p>
    <w:p w:rsidR="00F462D2" w:rsidRPr="00427040" w:rsidRDefault="00427040" w:rsidP="00FF60AC">
      <w:pPr>
        <w:jc w:val="both"/>
        <w:rPr>
          <w:rFonts w:ascii="Times New Roman" w:hAnsi="Times New Roman" w:cs="Times New Roman"/>
          <w:b/>
          <w:sz w:val="24"/>
          <w:szCs w:val="24"/>
        </w:rPr>
      </w:pPr>
      <w:r w:rsidRPr="00427040">
        <w:rPr>
          <w:rFonts w:ascii="Times New Roman" w:hAnsi="Times New Roman" w:cs="Times New Roman"/>
          <w:b/>
          <w:sz w:val="24"/>
          <w:szCs w:val="24"/>
        </w:rPr>
        <w:t xml:space="preserve">2. </w:t>
      </w:r>
      <w:r w:rsidR="00F462D2" w:rsidRPr="00427040">
        <w:rPr>
          <w:rFonts w:ascii="Times New Roman" w:hAnsi="Times New Roman" w:cs="Times New Roman"/>
          <w:b/>
          <w:sz w:val="24"/>
          <w:szCs w:val="24"/>
        </w:rPr>
        <w:t>Methods</w:t>
      </w:r>
    </w:p>
    <w:p w:rsidR="00F462D2" w:rsidRPr="00FB5D69" w:rsidRDefault="00336220" w:rsidP="00FF60AC">
      <w:pPr>
        <w:jc w:val="both"/>
        <w:rPr>
          <w:rFonts w:ascii="Times New Roman" w:hAnsi="Times New Roman" w:cs="Times New Roman"/>
          <w:b/>
          <w:sz w:val="20"/>
          <w:szCs w:val="20"/>
        </w:rPr>
      </w:pPr>
      <w:r w:rsidRPr="00FB5D69">
        <w:rPr>
          <w:rFonts w:ascii="Times New Roman" w:hAnsi="Times New Roman" w:cs="Times New Roman"/>
          <w:b/>
          <w:sz w:val="20"/>
          <w:szCs w:val="20"/>
        </w:rPr>
        <w:t xml:space="preserve">2.1 </w:t>
      </w:r>
      <w:r w:rsidR="00427040">
        <w:rPr>
          <w:rFonts w:ascii="Times New Roman" w:hAnsi="Times New Roman" w:cs="Times New Roman"/>
          <w:b/>
          <w:sz w:val="20"/>
          <w:szCs w:val="20"/>
        </w:rPr>
        <w:t>Study D</w:t>
      </w:r>
      <w:r w:rsidR="00F462D2" w:rsidRPr="00FB5D69">
        <w:rPr>
          <w:rFonts w:ascii="Times New Roman" w:hAnsi="Times New Roman" w:cs="Times New Roman"/>
          <w:b/>
          <w:sz w:val="20"/>
          <w:szCs w:val="20"/>
        </w:rPr>
        <w:t>esign</w:t>
      </w:r>
    </w:p>
    <w:p w:rsidR="00EB1591" w:rsidRDefault="00AA53BA" w:rsidP="00FF60AC">
      <w:pPr>
        <w:jc w:val="both"/>
        <w:rPr>
          <w:rFonts w:ascii="Times New Roman" w:hAnsi="Times New Roman" w:cs="Times New Roman"/>
          <w:sz w:val="20"/>
          <w:szCs w:val="20"/>
        </w:rPr>
      </w:pPr>
      <w:r>
        <w:rPr>
          <w:rFonts w:ascii="Times New Roman" w:hAnsi="Times New Roman" w:cs="Times New Roman"/>
          <w:sz w:val="20"/>
          <w:szCs w:val="20"/>
        </w:rPr>
        <w:t>A</w:t>
      </w:r>
      <w:r w:rsidR="005A15A2">
        <w:rPr>
          <w:rFonts w:ascii="Times New Roman" w:hAnsi="Times New Roman" w:cs="Times New Roman"/>
          <w:sz w:val="20"/>
          <w:szCs w:val="20"/>
        </w:rPr>
        <w:t>fter approval of</w:t>
      </w:r>
      <w:r w:rsidR="008C1743">
        <w:rPr>
          <w:rFonts w:ascii="Times New Roman" w:hAnsi="Times New Roman" w:cs="Times New Roman"/>
          <w:sz w:val="20"/>
          <w:szCs w:val="20"/>
        </w:rPr>
        <w:t xml:space="preserve"> </w:t>
      </w:r>
      <w:r w:rsidR="005A15A2">
        <w:rPr>
          <w:rFonts w:ascii="Times New Roman" w:hAnsi="Times New Roman" w:cs="Times New Roman"/>
          <w:sz w:val="20"/>
          <w:szCs w:val="20"/>
        </w:rPr>
        <w:t xml:space="preserve">ethical permission </w:t>
      </w:r>
      <w:r w:rsidR="008C1743">
        <w:rPr>
          <w:rFonts w:ascii="Times New Roman" w:hAnsi="Times New Roman" w:cs="Times New Roman"/>
          <w:sz w:val="20"/>
          <w:szCs w:val="20"/>
        </w:rPr>
        <w:t>from the ethical committee of college of health sciences and ethical &amp; research committee of Ministry Health of Eritrea.</w:t>
      </w:r>
      <w:r w:rsidR="00E53610">
        <w:rPr>
          <w:rFonts w:ascii="Times New Roman" w:hAnsi="Times New Roman" w:cs="Times New Roman"/>
          <w:sz w:val="20"/>
          <w:szCs w:val="20"/>
        </w:rPr>
        <w:t>,</w:t>
      </w:r>
      <w:r w:rsidR="008C1743">
        <w:rPr>
          <w:rFonts w:ascii="Times New Roman" w:hAnsi="Times New Roman" w:cs="Times New Roman"/>
          <w:sz w:val="20"/>
          <w:szCs w:val="20"/>
        </w:rPr>
        <w:t xml:space="preserve"> </w:t>
      </w:r>
      <w:r w:rsidR="00E53610">
        <w:rPr>
          <w:rFonts w:ascii="Times New Roman" w:hAnsi="Times New Roman" w:cs="Times New Roman"/>
          <w:sz w:val="20"/>
          <w:szCs w:val="20"/>
        </w:rPr>
        <w:t>a</w:t>
      </w:r>
      <w:r w:rsidR="00F462D2" w:rsidRPr="00FB5D69">
        <w:rPr>
          <w:rFonts w:ascii="Times New Roman" w:hAnsi="Times New Roman" w:cs="Times New Roman"/>
          <w:sz w:val="20"/>
          <w:szCs w:val="20"/>
        </w:rPr>
        <w:t xml:space="preserve"> non-randomized quasi-experiment between two groups of pregnant mothers in Orotta Maternity National referral and Teaching hospital and Sembel Hospitals was conducted from 6 November 2017 to 11 March of 2018. All mothers who delivered by cesarean section during the study period were included. </w:t>
      </w:r>
    </w:p>
    <w:p w:rsidR="00F462D2" w:rsidRPr="00FB5D69" w:rsidRDefault="00336220" w:rsidP="00FF60AC">
      <w:pPr>
        <w:jc w:val="both"/>
        <w:rPr>
          <w:rFonts w:ascii="Times New Roman" w:hAnsi="Times New Roman" w:cs="Times New Roman"/>
          <w:b/>
          <w:bCs/>
          <w:sz w:val="20"/>
          <w:szCs w:val="20"/>
        </w:rPr>
      </w:pPr>
      <w:r w:rsidRPr="00FB5D69">
        <w:rPr>
          <w:rFonts w:ascii="Times New Roman" w:hAnsi="Times New Roman" w:cs="Times New Roman"/>
          <w:b/>
          <w:bCs/>
          <w:sz w:val="20"/>
          <w:szCs w:val="20"/>
        </w:rPr>
        <w:t xml:space="preserve">2.2 </w:t>
      </w:r>
      <w:r w:rsidR="00F462D2" w:rsidRPr="00FB5D69">
        <w:rPr>
          <w:rFonts w:ascii="Times New Roman" w:hAnsi="Times New Roman" w:cs="Times New Roman"/>
          <w:b/>
          <w:bCs/>
          <w:sz w:val="20"/>
          <w:szCs w:val="20"/>
        </w:rPr>
        <w:t>Data Collection Tools</w:t>
      </w:r>
    </w:p>
    <w:p w:rsidR="00F462D2" w:rsidRPr="00FB5D69" w:rsidRDefault="00F462D2" w:rsidP="00FF60AC">
      <w:pPr>
        <w:jc w:val="both"/>
        <w:rPr>
          <w:rFonts w:ascii="Times New Roman" w:hAnsi="Times New Roman" w:cs="Times New Roman"/>
          <w:sz w:val="20"/>
          <w:szCs w:val="20"/>
        </w:rPr>
      </w:pPr>
      <w:r w:rsidRPr="00FB5D69">
        <w:rPr>
          <w:rFonts w:ascii="Times New Roman" w:hAnsi="Times New Roman" w:cs="Times New Roman"/>
          <w:sz w:val="20"/>
          <w:szCs w:val="20"/>
        </w:rPr>
        <w:t xml:space="preserve">Data were collected through a self-structured questionnaire after being refined and </w:t>
      </w:r>
      <w:r w:rsidR="00226D32">
        <w:rPr>
          <w:rFonts w:ascii="Times New Roman" w:hAnsi="Times New Roman" w:cs="Times New Roman"/>
          <w:sz w:val="20"/>
          <w:szCs w:val="20"/>
        </w:rPr>
        <w:t>validated</w:t>
      </w:r>
      <w:r w:rsidRPr="00FB5D69">
        <w:rPr>
          <w:rFonts w:ascii="Times New Roman" w:hAnsi="Times New Roman" w:cs="Times New Roman"/>
          <w:sz w:val="20"/>
          <w:szCs w:val="20"/>
        </w:rPr>
        <w:t xml:space="preserve"> by different experts.</w:t>
      </w:r>
      <w:r w:rsidR="00C44837" w:rsidRPr="00C44837">
        <w:rPr>
          <w:rFonts w:ascii="Times New Roman" w:hAnsi="Times New Roman" w:cs="Times New Roman"/>
          <w:sz w:val="20"/>
          <w:szCs w:val="20"/>
        </w:rPr>
        <w:t xml:space="preserve"> </w:t>
      </w:r>
      <w:r w:rsidR="006012D2" w:rsidRPr="00FB5D69">
        <w:rPr>
          <w:rFonts w:ascii="Times New Roman" w:hAnsi="Times New Roman" w:cs="Times New Roman"/>
          <w:sz w:val="20"/>
          <w:szCs w:val="20"/>
        </w:rPr>
        <w:t xml:space="preserve">The traditional group was not given any instruction and they were just instructed by the nurses as the routine protocol of the hospital. </w:t>
      </w:r>
      <w:r w:rsidRPr="00FB5D69">
        <w:rPr>
          <w:rFonts w:ascii="Times New Roman" w:hAnsi="Times New Roman" w:cs="Times New Roman"/>
          <w:sz w:val="20"/>
          <w:szCs w:val="20"/>
        </w:rPr>
        <w:t>The experimental</w:t>
      </w:r>
      <w:r w:rsidR="006012D2" w:rsidRPr="00FB5D69">
        <w:rPr>
          <w:rFonts w:ascii="Times New Roman" w:hAnsi="Times New Roman" w:cs="Times New Roman"/>
          <w:sz w:val="20"/>
          <w:szCs w:val="20"/>
        </w:rPr>
        <w:t xml:space="preserve"> (Standard)</w:t>
      </w:r>
      <w:r w:rsidRPr="00FB5D69">
        <w:rPr>
          <w:rFonts w:ascii="Times New Roman" w:hAnsi="Times New Roman" w:cs="Times New Roman"/>
          <w:sz w:val="20"/>
          <w:szCs w:val="20"/>
        </w:rPr>
        <w:t xml:space="preserve"> group received instructions of fasting</w:t>
      </w:r>
      <w:r w:rsidR="006012D2" w:rsidRPr="00FB5D69">
        <w:rPr>
          <w:rFonts w:ascii="Times New Roman" w:hAnsi="Times New Roman" w:cs="Times New Roman"/>
          <w:sz w:val="20"/>
          <w:szCs w:val="20"/>
        </w:rPr>
        <w:t xml:space="preserve"> by the data collectors</w:t>
      </w:r>
      <w:r w:rsidRPr="00FB5D69">
        <w:rPr>
          <w:rFonts w:ascii="Times New Roman" w:hAnsi="Times New Roman" w:cs="Times New Roman"/>
          <w:sz w:val="20"/>
          <w:szCs w:val="20"/>
        </w:rPr>
        <w:t xml:space="preserve"> one day before the surgery. The instructions that were given to the mothers includes; the time period of fasting from food and fluids, the necessity of fasting, and the type of food and fluids. A closed and open-ended structured questionnaire was </w:t>
      </w:r>
      <w:r w:rsidR="00226D32">
        <w:rPr>
          <w:rFonts w:ascii="Times New Roman" w:hAnsi="Times New Roman" w:cs="Times New Roman"/>
          <w:sz w:val="20"/>
          <w:szCs w:val="20"/>
        </w:rPr>
        <w:t>completed</w:t>
      </w:r>
      <w:r w:rsidRPr="00FB5D69">
        <w:rPr>
          <w:rFonts w:ascii="Times New Roman" w:hAnsi="Times New Roman" w:cs="Times New Roman"/>
          <w:sz w:val="20"/>
          <w:szCs w:val="20"/>
        </w:rPr>
        <w:t xml:space="preserve"> the next day of surgery 30minutes before entering Operation Theater</w:t>
      </w:r>
      <w:r w:rsidR="006012D2" w:rsidRPr="00FB5D69">
        <w:rPr>
          <w:rFonts w:ascii="Times New Roman" w:hAnsi="Times New Roman" w:cs="Times New Roman"/>
          <w:sz w:val="20"/>
          <w:szCs w:val="20"/>
        </w:rPr>
        <w:t xml:space="preserve"> to both groups of the study</w:t>
      </w:r>
      <w:r w:rsidRPr="00FB5D69">
        <w:rPr>
          <w:rFonts w:ascii="Times New Roman" w:hAnsi="Times New Roman" w:cs="Times New Roman"/>
          <w:sz w:val="20"/>
          <w:szCs w:val="20"/>
        </w:rPr>
        <w:t xml:space="preserve">. During the surgery time, the participants were followed for any signs of nausea and vomiting and asked for any feeling of epigastric discomforts. Two hours after surgery, the participants were again asked a question regarding post-operative discomforts. Numeric Visual Score (NVS) techniques were used to assess degree of discomforts by the patients. The questionnaire includes, demographic data, preoperative assessment, </w:t>
      </w:r>
      <w:proofErr w:type="gramStart"/>
      <w:r w:rsidRPr="00FB5D69">
        <w:rPr>
          <w:rFonts w:ascii="Times New Roman" w:hAnsi="Times New Roman" w:cs="Times New Roman"/>
          <w:sz w:val="20"/>
          <w:szCs w:val="20"/>
        </w:rPr>
        <w:t>pre</w:t>
      </w:r>
      <w:proofErr w:type="gramEnd"/>
      <w:r w:rsidRPr="00FB5D69">
        <w:rPr>
          <w:rFonts w:ascii="Times New Roman" w:hAnsi="Times New Roman" w:cs="Times New Roman"/>
          <w:sz w:val="20"/>
          <w:szCs w:val="20"/>
        </w:rPr>
        <w:t>-operative discomforts assessment, intraoperative and postoperative outcomes. The level of discomforts preoperatively and postoperatively were measured by a numeric analogue scales that ranges from 0 to 10 and values 0 as no discomfort, 1 to 3 considered as mild, 4 to 6 as moderate, and ≥7 as severe discomforts.</w:t>
      </w:r>
    </w:p>
    <w:p w:rsidR="00F462D2" w:rsidRPr="00FB5D69" w:rsidRDefault="00336220" w:rsidP="00FF60AC">
      <w:pPr>
        <w:jc w:val="both"/>
        <w:rPr>
          <w:rFonts w:ascii="Times New Roman" w:hAnsi="Times New Roman" w:cs="Times New Roman"/>
          <w:b/>
          <w:sz w:val="20"/>
          <w:szCs w:val="20"/>
        </w:rPr>
      </w:pPr>
      <w:r w:rsidRPr="00FB5D69">
        <w:rPr>
          <w:rFonts w:ascii="Times New Roman" w:hAnsi="Times New Roman" w:cs="Times New Roman"/>
          <w:b/>
          <w:sz w:val="20"/>
          <w:szCs w:val="20"/>
        </w:rPr>
        <w:t xml:space="preserve">2.3 </w:t>
      </w:r>
      <w:r w:rsidR="00F462D2" w:rsidRPr="00FB5D69">
        <w:rPr>
          <w:rFonts w:ascii="Times New Roman" w:hAnsi="Times New Roman" w:cs="Times New Roman"/>
          <w:b/>
          <w:sz w:val="20"/>
          <w:szCs w:val="20"/>
        </w:rPr>
        <w:t>Data Processing and Statistical Analysis</w:t>
      </w:r>
    </w:p>
    <w:p w:rsidR="00F462D2" w:rsidRPr="00FB5D69" w:rsidRDefault="00F462D2" w:rsidP="00FF60AC">
      <w:pPr>
        <w:jc w:val="both"/>
        <w:rPr>
          <w:rFonts w:ascii="Times New Roman" w:hAnsi="Times New Roman" w:cs="Times New Roman"/>
          <w:sz w:val="20"/>
          <w:szCs w:val="20"/>
        </w:rPr>
      </w:pPr>
      <w:r w:rsidRPr="00FB5D69">
        <w:rPr>
          <w:rFonts w:ascii="Times New Roman" w:hAnsi="Times New Roman" w:cs="Times New Roman"/>
          <w:sz w:val="20"/>
          <w:szCs w:val="20"/>
        </w:rPr>
        <w:t xml:space="preserve">The data was double entered in SPSS (version 22) and cleaned before the actual analysis. </w:t>
      </w:r>
      <w:r w:rsidR="000627E5" w:rsidRPr="00C44837">
        <w:rPr>
          <w:rFonts w:ascii="Times New Roman" w:hAnsi="Times New Roman" w:cs="Times New Roman"/>
          <w:sz w:val="20"/>
          <w:szCs w:val="20"/>
        </w:rPr>
        <w:t>Normality of the entered data was checked with Kolmogorov-Smirnov test and Fisher’s measures of skewness and kurtosis. To describe the data mean (SD), median (IQR), and percentages were used, as appropriate for the demographic, preoperative, intraoperative and postoperative features. Point estimates and their corresponding 95% CI of fasting time were evaluated for both traditional and standard fasting</w:t>
      </w:r>
      <w:r w:rsidR="000627E5">
        <w:rPr>
          <w:rFonts w:ascii="Times New Roman" w:hAnsi="Times New Roman" w:cs="Times New Roman"/>
          <w:sz w:val="20"/>
          <w:szCs w:val="20"/>
        </w:rPr>
        <w:t xml:space="preserve">. </w:t>
      </w:r>
      <w:r w:rsidRPr="00FB5D69">
        <w:rPr>
          <w:rFonts w:ascii="Times New Roman" w:hAnsi="Times New Roman" w:cs="Times New Roman"/>
          <w:sz w:val="20"/>
          <w:szCs w:val="20"/>
        </w:rPr>
        <w:t xml:space="preserve">Student’s t-test was used to assess the hypothesized difference in length of fasting time and consequently in discomfort scores between the standard and traditional fasting. In addition, ANOVA was also used to find out the difference in length of fasting time and discomforts score across demographic characteristics. Furthermore, the possible relationship of fasting time and postoperative discomfort scores, Pearson’s correlation coefficient and logistic regression were used. </w:t>
      </w:r>
      <w:r w:rsidRPr="00FB5D69">
        <w:rPr>
          <w:rFonts w:ascii="Times New Roman" w:hAnsi="Times New Roman" w:cs="Times New Roman"/>
          <w:i/>
          <w:iCs/>
          <w:sz w:val="20"/>
          <w:szCs w:val="20"/>
        </w:rPr>
        <w:t xml:space="preserve">P </w:t>
      </w:r>
      <w:r w:rsidRPr="00FB5D69">
        <w:rPr>
          <w:rFonts w:ascii="Times New Roman" w:hAnsi="Times New Roman" w:cs="Times New Roman"/>
          <w:sz w:val="20"/>
          <w:szCs w:val="20"/>
        </w:rPr>
        <w:t>value less than 0.05 was rendered as significant.</w:t>
      </w:r>
    </w:p>
    <w:p w:rsidR="00226D32" w:rsidRDefault="00226D32" w:rsidP="00FF60AC">
      <w:pPr>
        <w:jc w:val="both"/>
        <w:rPr>
          <w:rFonts w:ascii="Times New Roman" w:hAnsi="Times New Roman" w:cs="Times New Roman"/>
          <w:b/>
          <w:sz w:val="24"/>
          <w:szCs w:val="20"/>
        </w:rPr>
      </w:pPr>
    </w:p>
    <w:p w:rsidR="00F43DC9" w:rsidRPr="00427040" w:rsidRDefault="009713A2" w:rsidP="00FF60AC">
      <w:pPr>
        <w:jc w:val="both"/>
        <w:rPr>
          <w:rFonts w:ascii="Times New Roman" w:hAnsi="Times New Roman" w:cs="Times New Roman"/>
          <w:b/>
          <w:sz w:val="24"/>
          <w:szCs w:val="20"/>
        </w:rPr>
      </w:pPr>
      <w:r w:rsidRPr="00427040">
        <w:rPr>
          <w:rFonts w:ascii="Times New Roman" w:hAnsi="Times New Roman" w:cs="Times New Roman"/>
          <w:b/>
          <w:sz w:val="24"/>
          <w:szCs w:val="20"/>
        </w:rPr>
        <w:lastRenderedPageBreak/>
        <w:t>3. Results</w:t>
      </w:r>
    </w:p>
    <w:p w:rsidR="009713A2" w:rsidRPr="00FB5D69" w:rsidRDefault="009713A2" w:rsidP="00FF60AC">
      <w:pPr>
        <w:jc w:val="both"/>
        <w:rPr>
          <w:rFonts w:ascii="Times New Roman" w:hAnsi="Times New Roman" w:cs="Times New Roman"/>
          <w:sz w:val="20"/>
          <w:szCs w:val="20"/>
        </w:rPr>
      </w:pPr>
      <w:r w:rsidRPr="00FB5D69">
        <w:rPr>
          <w:rFonts w:ascii="Times New Roman" w:hAnsi="Times New Roman" w:cs="Times New Roman"/>
          <w:sz w:val="20"/>
          <w:szCs w:val="20"/>
        </w:rPr>
        <w:t xml:space="preserve">In this study, which was conducted from November 6 of 2017 to March 11 of 2018, a total of 106 pregnant mothers were included. </w:t>
      </w:r>
      <w:r w:rsidR="003E06D7">
        <w:rPr>
          <w:rFonts w:ascii="Times New Roman" w:hAnsi="Times New Roman" w:cs="Times New Roman"/>
          <w:sz w:val="20"/>
          <w:szCs w:val="20"/>
        </w:rPr>
        <w:t xml:space="preserve">Comparable </w:t>
      </w:r>
      <w:r w:rsidRPr="00FB5D69">
        <w:rPr>
          <w:rFonts w:ascii="Times New Roman" w:hAnsi="Times New Roman" w:cs="Times New Roman"/>
          <w:sz w:val="20"/>
          <w:szCs w:val="20"/>
        </w:rPr>
        <w:t>number of participants were observed in the traditional as well as standard ASA based preoperative fas</w:t>
      </w:r>
      <w:r w:rsidR="003E06D7">
        <w:rPr>
          <w:rFonts w:ascii="Times New Roman" w:hAnsi="Times New Roman" w:cs="Times New Roman"/>
          <w:sz w:val="20"/>
          <w:szCs w:val="20"/>
        </w:rPr>
        <w:t>ting groups. T</w:t>
      </w:r>
      <w:r w:rsidRPr="00FB5D69">
        <w:rPr>
          <w:rFonts w:ascii="Times New Roman" w:hAnsi="Times New Roman" w:cs="Times New Roman"/>
          <w:sz w:val="20"/>
          <w:szCs w:val="20"/>
        </w:rPr>
        <w:t>he indication for cesarean section were; previous C/S, CPD, Malpresentation, large baby and others in decreasing order in both groups. (Table 1)</w:t>
      </w:r>
    </w:p>
    <w:p w:rsidR="006012D2" w:rsidRPr="00FB5D69" w:rsidRDefault="006012D2" w:rsidP="00FF60AC">
      <w:pPr>
        <w:jc w:val="both"/>
        <w:rPr>
          <w:rFonts w:ascii="Times New Roman" w:hAnsi="Times New Roman" w:cs="Times New Roman"/>
          <w:b/>
          <w:sz w:val="20"/>
          <w:szCs w:val="20"/>
        </w:rPr>
      </w:pPr>
      <w:r w:rsidRPr="00FB5D69">
        <w:rPr>
          <w:rFonts w:ascii="Times New Roman" w:hAnsi="Times New Roman" w:cs="Times New Roman"/>
          <w:b/>
          <w:sz w:val="20"/>
          <w:szCs w:val="20"/>
        </w:rPr>
        <w:t>Table 1. Socio-demographic Characteristics of mother who underwent C/S</w:t>
      </w:r>
    </w:p>
    <w:tbl>
      <w:tblPr>
        <w:tblW w:w="7857" w:type="dxa"/>
        <w:tblLook w:val="04A0" w:firstRow="1" w:lastRow="0" w:firstColumn="1" w:lastColumn="0" w:noHBand="0" w:noVBand="1"/>
      </w:tblPr>
      <w:tblGrid>
        <w:gridCol w:w="2520"/>
        <w:gridCol w:w="1710"/>
        <w:gridCol w:w="1562"/>
        <w:gridCol w:w="1097"/>
        <w:gridCol w:w="968"/>
      </w:tblGrid>
      <w:tr w:rsidR="009713A2" w:rsidRPr="00FB5D69" w:rsidTr="00BF041C">
        <w:trPr>
          <w:trHeight w:val="300"/>
        </w:trPr>
        <w:tc>
          <w:tcPr>
            <w:tcW w:w="4230" w:type="dxa"/>
            <w:gridSpan w:val="2"/>
            <w:vMerge w:val="restart"/>
            <w:tcBorders>
              <w:top w:val="single" w:sz="4" w:space="0" w:color="auto"/>
              <w:left w:val="nil"/>
              <w:bottom w:val="single" w:sz="4" w:space="0" w:color="000000"/>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Variables</w:t>
            </w:r>
          </w:p>
        </w:tc>
        <w:tc>
          <w:tcPr>
            <w:tcW w:w="1562" w:type="dxa"/>
            <w:tcBorders>
              <w:top w:val="single" w:sz="4" w:space="0" w:color="auto"/>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Traditional (N=54)</w:t>
            </w:r>
          </w:p>
        </w:tc>
        <w:tc>
          <w:tcPr>
            <w:tcW w:w="1097" w:type="dxa"/>
            <w:tcBorders>
              <w:top w:val="single" w:sz="4" w:space="0" w:color="auto"/>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Standard (N=52)</w:t>
            </w:r>
          </w:p>
        </w:tc>
        <w:tc>
          <w:tcPr>
            <w:tcW w:w="968" w:type="dxa"/>
            <w:tcBorders>
              <w:top w:val="single" w:sz="4" w:space="0" w:color="auto"/>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Total (N=106)</w:t>
            </w:r>
          </w:p>
        </w:tc>
      </w:tr>
      <w:tr w:rsidR="009713A2" w:rsidRPr="00FB5D69" w:rsidTr="00BF041C">
        <w:trPr>
          <w:trHeight w:val="300"/>
        </w:trPr>
        <w:tc>
          <w:tcPr>
            <w:tcW w:w="4230" w:type="dxa"/>
            <w:gridSpan w:val="2"/>
            <w:vMerge/>
            <w:tcBorders>
              <w:top w:val="single" w:sz="4" w:space="0" w:color="auto"/>
              <w:left w:val="nil"/>
              <w:bottom w:val="single" w:sz="4" w:space="0" w:color="000000"/>
              <w:right w:val="nil"/>
            </w:tcBorders>
            <w:vAlign w:val="center"/>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p>
        </w:tc>
        <w:tc>
          <w:tcPr>
            <w:tcW w:w="1562" w:type="dxa"/>
            <w:tcBorders>
              <w:top w:val="nil"/>
              <w:left w:val="nil"/>
              <w:bottom w:val="single" w:sz="4" w:space="0" w:color="auto"/>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097" w:type="dxa"/>
            <w:tcBorders>
              <w:top w:val="nil"/>
              <w:left w:val="nil"/>
              <w:bottom w:val="single" w:sz="4" w:space="0" w:color="auto"/>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968" w:type="dxa"/>
            <w:tcBorders>
              <w:top w:val="nil"/>
              <w:left w:val="nil"/>
              <w:bottom w:val="single" w:sz="4" w:space="0" w:color="auto"/>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r>
      <w:tr w:rsidR="009713A2" w:rsidRPr="00FB5D69" w:rsidTr="00BF041C">
        <w:trPr>
          <w:trHeight w:val="300"/>
        </w:trPr>
        <w:tc>
          <w:tcPr>
            <w:tcW w:w="4230" w:type="dxa"/>
            <w:gridSpan w:val="2"/>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Age (Mean=30.39, SD=5.09)</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p>
        </w:tc>
        <w:tc>
          <w:tcPr>
            <w:tcW w:w="1097"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c>
          <w:tcPr>
            <w:tcW w:w="968"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18 to 25</w:t>
            </w:r>
          </w:p>
        </w:tc>
        <w:tc>
          <w:tcPr>
            <w:tcW w:w="1562"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13(24.0)</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5(9.6)</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18(17.0)</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26 to 34</w:t>
            </w:r>
          </w:p>
        </w:tc>
        <w:tc>
          <w:tcPr>
            <w:tcW w:w="1562"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32(59.2)</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32(61.5)</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64(60.4)</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35 to 42</w:t>
            </w:r>
          </w:p>
        </w:tc>
        <w:tc>
          <w:tcPr>
            <w:tcW w:w="1562"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9(16.6)</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15(28.8)</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24(22.6)</w:t>
            </w:r>
          </w:p>
        </w:tc>
      </w:tr>
      <w:tr w:rsidR="009713A2" w:rsidRPr="00FB5D69" w:rsidTr="00BF041C">
        <w:trPr>
          <w:trHeight w:val="300"/>
        </w:trPr>
        <w:tc>
          <w:tcPr>
            <w:tcW w:w="4230" w:type="dxa"/>
            <w:gridSpan w:val="2"/>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Educational Level</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p>
        </w:tc>
        <w:tc>
          <w:tcPr>
            <w:tcW w:w="1097"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c>
          <w:tcPr>
            <w:tcW w:w="968"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Elementary</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xml:space="preserve">5(9.2) </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5(9.6)</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10(9.4)</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Junior</w:t>
            </w:r>
          </w:p>
        </w:tc>
        <w:tc>
          <w:tcPr>
            <w:tcW w:w="1562"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3(5.5)</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12(23.0)</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15(14.2)</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Secondary School</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41(78.8)</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27(51.9)</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68(64.2)</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xml:space="preserve"> </w:t>
            </w: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Higher Level</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5(9.2)</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8(15.3)</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13(12.3)</w:t>
            </w:r>
          </w:p>
        </w:tc>
      </w:tr>
      <w:tr w:rsidR="009713A2" w:rsidRPr="00FB5D69" w:rsidTr="00BF041C">
        <w:trPr>
          <w:trHeight w:val="300"/>
        </w:trPr>
        <w:tc>
          <w:tcPr>
            <w:tcW w:w="4230" w:type="dxa"/>
            <w:gridSpan w:val="2"/>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Number of Previous CS</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p>
        </w:tc>
        <w:tc>
          <w:tcPr>
            <w:tcW w:w="1097"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c>
          <w:tcPr>
            <w:tcW w:w="968"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None</w:t>
            </w:r>
          </w:p>
        </w:tc>
        <w:tc>
          <w:tcPr>
            <w:tcW w:w="1562"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10(18.5)</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13(25)</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23(21.7)</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One</w:t>
            </w:r>
          </w:p>
        </w:tc>
        <w:tc>
          <w:tcPr>
            <w:tcW w:w="1562"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24(44.4)</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17(32.6)</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41(38.7)</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xml:space="preserve"> </w:t>
            </w: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Two</w:t>
            </w:r>
          </w:p>
        </w:tc>
        <w:tc>
          <w:tcPr>
            <w:tcW w:w="1562"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12(22.2)</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15(28.8)</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27(25.5)</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Three or more</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8(14.8)</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7(13.4)</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15(14.2)</w:t>
            </w:r>
          </w:p>
        </w:tc>
      </w:tr>
      <w:tr w:rsidR="009713A2" w:rsidRPr="00FB5D69" w:rsidTr="00BF041C">
        <w:trPr>
          <w:trHeight w:val="300"/>
        </w:trPr>
        <w:tc>
          <w:tcPr>
            <w:tcW w:w="4230" w:type="dxa"/>
            <w:gridSpan w:val="2"/>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Indication of CS</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b/>
                <w:bCs/>
                <w:color w:val="000000"/>
                <w:sz w:val="20"/>
                <w:szCs w:val="20"/>
              </w:rPr>
            </w:pPr>
          </w:p>
        </w:tc>
        <w:tc>
          <w:tcPr>
            <w:tcW w:w="1097"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c>
          <w:tcPr>
            <w:tcW w:w="968"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Previous CS</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38(70.3)</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26(50)</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64(60.4)</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CPD</w:t>
            </w:r>
          </w:p>
        </w:tc>
        <w:tc>
          <w:tcPr>
            <w:tcW w:w="1562"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6(11.1)</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11(21.1)</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17(16.0)</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Malpresentation</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2(3.7)</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4(7.6)</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6(5.7)</w:t>
            </w:r>
          </w:p>
        </w:tc>
      </w:tr>
      <w:tr w:rsidR="009713A2" w:rsidRPr="00FB5D69" w:rsidTr="00BF041C">
        <w:trPr>
          <w:trHeight w:val="300"/>
        </w:trPr>
        <w:tc>
          <w:tcPr>
            <w:tcW w:w="2520"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Large Baby</w:t>
            </w:r>
          </w:p>
        </w:tc>
        <w:tc>
          <w:tcPr>
            <w:tcW w:w="1562" w:type="dxa"/>
            <w:tcBorders>
              <w:top w:val="nil"/>
              <w:left w:val="nil"/>
              <w:bottom w:val="nil"/>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3(5.5)</w:t>
            </w:r>
          </w:p>
        </w:tc>
        <w:tc>
          <w:tcPr>
            <w:tcW w:w="1097"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1(1.9)</w:t>
            </w:r>
          </w:p>
        </w:tc>
        <w:tc>
          <w:tcPr>
            <w:tcW w:w="968" w:type="dxa"/>
            <w:tcBorders>
              <w:top w:val="nil"/>
              <w:left w:val="nil"/>
              <w:bottom w:val="nil"/>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4(3.8)</w:t>
            </w:r>
          </w:p>
        </w:tc>
      </w:tr>
      <w:tr w:rsidR="009713A2" w:rsidRPr="00FB5D69" w:rsidTr="00BF041C">
        <w:trPr>
          <w:trHeight w:val="300"/>
        </w:trPr>
        <w:tc>
          <w:tcPr>
            <w:tcW w:w="2520" w:type="dxa"/>
            <w:tcBorders>
              <w:top w:val="nil"/>
              <w:left w:val="nil"/>
              <w:bottom w:val="single" w:sz="4" w:space="0" w:color="auto"/>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w:t>
            </w:r>
          </w:p>
        </w:tc>
        <w:tc>
          <w:tcPr>
            <w:tcW w:w="1710" w:type="dxa"/>
            <w:tcBorders>
              <w:top w:val="nil"/>
              <w:left w:val="nil"/>
              <w:bottom w:val="single" w:sz="4" w:space="0" w:color="auto"/>
              <w:right w:val="nil"/>
            </w:tcBorders>
            <w:shd w:val="clear" w:color="auto" w:fill="auto"/>
            <w:noWrap/>
            <w:vAlign w:val="center"/>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Others</w:t>
            </w:r>
          </w:p>
        </w:tc>
        <w:tc>
          <w:tcPr>
            <w:tcW w:w="1562" w:type="dxa"/>
            <w:tcBorders>
              <w:top w:val="nil"/>
              <w:left w:val="nil"/>
              <w:bottom w:val="single" w:sz="4" w:space="0" w:color="auto"/>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5(9.2)</w:t>
            </w:r>
          </w:p>
        </w:tc>
        <w:tc>
          <w:tcPr>
            <w:tcW w:w="1097" w:type="dxa"/>
            <w:tcBorders>
              <w:top w:val="nil"/>
              <w:left w:val="nil"/>
              <w:bottom w:val="single" w:sz="4" w:space="0" w:color="auto"/>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10(19.2)</w:t>
            </w:r>
          </w:p>
        </w:tc>
        <w:tc>
          <w:tcPr>
            <w:tcW w:w="968" w:type="dxa"/>
            <w:tcBorders>
              <w:top w:val="nil"/>
              <w:left w:val="nil"/>
              <w:bottom w:val="single" w:sz="4" w:space="0" w:color="auto"/>
              <w:right w:val="nil"/>
            </w:tcBorders>
            <w:shd w:val="clear" w:color="auto" w:fill="auto"/>
            <w:noWrap/>
            <w:vAlign w:val="bottom"/>
            <w:hideMark/>
          </w:tcPr>
          <w:p w:rsidR="009713A2" w:rsidRPr="00FB5D69" w:rsidRDefault="009713A2"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15(14.2)</w:t>
            </w:r>
          </w:p>
        </w:tc>
      </w:tr>
    </w:tbl>
    <w:p w:rsidR="009713A2" w:rsidRPr="00FB5D69" w:rsidRDefault="009713A2" w:rsidP="00FF60AC">
      <w:pPr>
        <w:jc w:val="both"/>
        <w:rPr>
          <w:rFonts w:ascii="Times New Roman" w:hAnsi="Times New Roman" w:cs="Times New Roman"/>
          <w:sz w:val="20"/>
          <w:szCs w:val="20"/>
        </w:rPr>
      </w:pPr>
    </w:p>
    <w:p w:rsidR="00335FCE" w:rsidRPr="00FB5D69" w:rsidRDefault="00427040" w:rsidP="00FF60AC">
      <w:pPr>
        <w:jc w:val="both"/>
        <w:rPr>
          <w:rFonts w:ascii="Times New Roman" w:hAnsi="Times New Roman" w:cs="Times New Roman"/>
          <w:sz w:val="20"/>
          <w:szCs w:val="20"/>
        </w:rPr>
      </w:pPr>
      <w:r>
        <w:rPr>
          <w:rFonts w:ascii="Times New Roman" w:hAnsi="Times New Roman" w:cs="Times New Roman"/>
          <w:b/>
          <w:sz w:val="20"/>
          <w:szCs w:val="20"/>
        </w:rPr>
        <w:t>3.1 Preoperative F</w:t>
      </w:r>
      <w:r w:rsidR="00335FCE" w:rsidRPr="00FB5D69">
        <w:rPr>
          <w:rFonts w:ascii="Times New Roman" w:hAnsi="Times New Roman" w:cs="Times New Roman"/>
          <w:b/>
          <w:sz w:val="20"/>
          <w:szCs w:val="20"/>
        </w:rPr>
        <w:t xml:space="preserve">asting </w:t>
      </w:r>
      <w:r>
        <w:rPr>
          <w:rFonts w:ascii="Times New Roman" w:hAnsi="Times New Roman" w:cs="Times New Roman"/>
          <w:b/>
          <w:sz w:val="20"/>
          <w:szCs w:val="20"/>
        </w:rPr>
        <w:t>A</w:t>
      </w:r>
      <w:r w:rsidR="00335FCE" w:rsidRPr="00FB5D69">
        <w:rPr>
          <w:rFonts w:ascii="Times New Roman" w:hAnsi="Times New Roman" w:cs="Times New Roman"/>
          <w:b/>
          <w:sz w:val="20"/>
          <w:szCs w:val="20"/>
        </w:rPr>
        <w:t>ssessment</w:t>
      </w:r>
    </w:p>
    <w:p w:rsidR="00335FCE" w:rsidRPr="00FB5D69" w:rsidRDefault="00335FCE" w:rsidP="00FF60AC">
      <w:pPr>
        <w:jc w:val="both"/>
        <w:rPr>
          <w:rFonts w:ascii="Times New Roman" w:hAnsi="Times New Roman" w:cs="Times New Roman"/>
          <w:sz w:val="20"/>
          <w:szCs w:val="20"/>
        </w:rPr>
      </w:pPr>
      <w:r w:rsidRPr="00FB5D69">
        <w:rPr>
          <w:rFonts w:ascii="Times New Roman" w:hAnsi="Times New Roman" w:cs="Times New Roman"/>
          <w:sz w:val="20"/>
          <w:szCs w:val="20"/>
        </w:rPr>
        <w:t>Regarding the type of food consumed preoperatively, 68.9% (n=73) of the mothers took solid food and 31.1% (n=33) soft food. Tea was the most consumed drink 45.3% (n=48), followed by water 38.7% (n=41) and milk 14.2% (n=15). In comparison to the traditional practice, in the standard practice 53.8% (n=28) took tea, 38.4% (n=20) water, 5.7% (n=3) milk, and 1.9% (n=1) juice. Solid food was consumed by 55.5% (n=30) of the traditional practice and 82.6% (n=43) of the standard practice.</w:t>
      </w:r>
    </w:p>
    <w:p w:rsidR="00335FCE" w:rsidRPr="00FB5D69" w:rsidRDefault="00427040" w:rsidP="00FF60AC">
      <w:pPr>
        <w:jc w:val="both"/>
        <w:rPr>
          <w:rFonts w:ascii="Times New Roman" w:hAnsi="Times New Roman" w:cs="Times New Roman"/>
          <w:b/>
          <w:sz w:val="20"/>
          <w:szCs w:val="20"/>
        </w:rPr>
      </w:pPr>
      <w:r>
        <w:rPr>
          <w:rFonts w:ascii="Times New Roman" w:hAnsi="Times New Roman" w:cs="Times New Roman"/>
          <w:b/>
          <w:sz w:val="20"/>
          <w:szCs w:val="20"/>
        </w:rPr>
        <w:t>Table 2. Preoperative F</w:t>
      </w:r>
      <w:r w:rsidR="00726F09" w:rsidRPr="00FB5D69">
        <w:rPr>
          <w:rFonts w:ascii="Times New Roman" w:hAnsi="Times New Roman" w:cs="Times New Roman"/>
          <w:b/>
          <w:sz w:val="20"/>
          <w:szCs w:val="20"/>
        </w:rPr>
        <w:t xml:space="preserve">asting </w:t>
      </w:r>
      <w:r>
        <w:rPr>
          <w:rFonts w:ascii="Times New Roman" w:hAnsi="Times New Roman" w:cs="Times New Roman"/>
          <w:b/>
          <w:sz w:val="20"/>
          <w:szCs w:val="20"/>
        </w:rPr>
        <w:t>A</w:t>
      </w:r>
      <w:r w:rsidR="00726F09" w:rsidRPr="00FB5D69">
        <w:rPr>
          <w:rFonts w:ascii="Times New Roman" w:hAnsi="Times New Roman" w:cs="Times New Roman"/>
          <w:b/>
          <w:sz w:val="20"/>
          <w:szCs w:val="20"/>
        </w:rPr>
        <w:t>ssessment</w:t>
      </w:r>
    </w:p>
    <w:tbl>
      <w:tblPr>
        <w:tblW w:w="7906" w:type="dxa"/>
        <w:tblLook w:val="04A0" w:firstRow="1" w:lastRow="0" w:firstColumn="1" w:lastColumn="0" w:noHBand="0" w:noVBand="1"/>
      </w:tblPr>
      <w:tblGrid>
        <w:gridCol w:w="266"/>
        <w:gridCol w:w="3560"/>
        <w:gridCol w:w="1360"/>
        <w:gridCol w:w="1360"/>
        <w:gridCol w:w="1360"/>
      </w:tblGrid>
      <w:tr w:rsidR="00726F09" w:rsidRPr="00FB5D69" w:rsidTr="00BF041C">
        <w:trPr>
          <w:trHeight w:val="300"/>
        </w:trPr>
        <w:tc>
          <w:tcPr>
            <w:tcW w:w="3826" w:type="dxa"/>
            <w:gridSpan w:val="2"/>
            <w:vMerge w:val="restart"/>
            <w:tcBorders>
              <w:top w:val="single" w:sz="4" w:space="0" w:color="auto"/>
              <w:left w:val="nil"/>
              <w:bottom w:val="single" w:sz="4" w:space="0" w:color="000000"/>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Variables</w:t>
            </w:r>
          </w:p>
        </w:tc>
        <w:tc>
          <w:tcPr>
            <w:tcW w:w="1360" w:type="dxa"/>
            <w:tcBorders>
              <w:top w:val="single" w:sz="4" w:space="0" w:color="auto"/>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 xml:space="preserve">Traditional (N=54) </w:t>
            </w:r>
          </w:p>
        </w:tc>
        <w:tc>
          <w:tcPr>
            <w:tcW w:w="1360" w:type="dxa"/>
            <w:tcBorders>
              <w:top w:val="single" w:sz="4" w:space="0" w:color="auto"/>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Standard (N=52)</w:t>
            </w:r>
          </w:p>
        </w:tc>
        <w:tc>
          <w:tcPr>
            <w:tcW w:w="1360" w:type="dxa"/>
            <w:tcBorders>
              <w:top w:val="single" w:sz="4" w:space="0" w:color="auto"/>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Total (N=106)</w:t>
            </w:r>
          </w:p>
        </w:tc>
      </w:tr>
      <w:tr w:rsidR="00726F09" w:rsidRPr="00FB5D69" w:rsidTr="00BF041C">
        <w:trPr>
          <w:trHeight w:val="300"/>
        </w:trPr>
        <w:tc>
          <w:tcPr>
            <w:tcW w:w="3826" w:type="dxa"/>
            <w:gridSpan w:val="2"/>
            <w:vMerge/>
            <w:tcBorders>
              <w:top w:val="single" w:sz="4" w:space="0" w:color="auto"/>
              <w:left w:val="nil"/>
              <w:bottom w:val="single" w:sz="4" w:space="0" w:color="000000"/>
              <w:right w:val="nil"/>
            </w:tcBorders>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
        </w:tc>
        <w:tc>
          <w:tcPr>
            <w:tcW w:w="1360" w:type="dxa"/>
            <w:tcBorders>
              <w:top w:val="nil"/>
              <w:left w:val="nil"/>
              <w:bottom w:val="single" w:sz="4" w:space="0" w:color="auto"/>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360" w:type="dxa"/>
            <w:tcBorders>
              <w:top w:val="nil"/>
              <w:left w:val="nil"/>
              <w:bottom w:val="single" w:sz="4" w:space="0" w:color="auto"/>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360" w:type="dxa"/>
            <w:tcBorders>
              <w:top w:val="nil"/>
              <w:left w:val="nil"/>
              <w:bottom w:val="single" w:sz="4" w:space="0" w:color="auto"/>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r>
      <w:tr w:rsidR="00726F09" w:rsidRPr="00FB5D69" w:rsidTr="00BF041C">
        <w:trPr>
          <w:trHeight w:val="300"/>
        </w:trPr>
        <w:tc>
          <w:tcPr>
            <w:tcW w:w="3826" w:type="dxa"/>
            <w:gridSpan w:val="2"/>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Receive Information</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48(88.8)</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52(100)</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100 (94.3)</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6(11.1)</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6(5.7)</w:t>
            </w:r>
          </w:p>
        </w:tc>
      </w:tr>
      <w:tr w:rsidR="00726F09" w:rsidRPr="00FB5D69" w:rsidTr="00BF041C">
        <w:trPr>
          <w:trHeight w:val="300"/>
        </w:trPr>
        <w:tc>
          <w:tcPr>
            <w:tcW w:w="3826" w:type="dxa"/>
            <w:gridSpan w:val="2"/>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Information giver</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3E06D7" w:rsidP="00FF60AC">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Physicians</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17(31.4)</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17(16.0)</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Nurses</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4(7.4)</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2(3.8)</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6(5.7)</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Anesthetists</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33(61.1)</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50(96.1)</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83(83.3)</w:t>
            </w:r>
          </w:p>
        </w:tc>
      </w:tr>
      <w:tr w:rsidR="00726F09" w:rsidRPr="00FB5D69" w:rsidTr="00BF041C">
        <w:trPr>
          <w:trHeight w:val="300"/>
        </w:trPr>
        <w:tc>
          <w:tcPr>
            <w:tcW w:w="3826" w:type="dxa"/>
            <w:gridSpan w:val="2"/>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 xml:space="preserve">Type of foods </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Solid Foods</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30(55.5)</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43(82.6)</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73(68.9)</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Soft Foods</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24(44.4)</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9(17.3)</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33(31.1)</w:t>
            </w:r>
          </w:p>
        </w:tc>
      </w:tr>
      <w:tr w:rsidR="00726F09" w:rsidRPr="00FB5D69" w:rsidTr="00BF041C">
        <w:trPr>
          <w:trHeight w:val="300"/>
        </w:trPr>
        <w:tc>
          <w:tcPr>
            <w:tcW w:w="3826" w:type="dxa"/>
            <w:gridSpan w:val="2"/>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Type of Drinks</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Water</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21(38.8)</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20(38.4)</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41(38.7)</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Tea</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20(37.0)</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28(53.8)</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48(45.3)</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Milk</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12(22.2)</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3(5.7)</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15(14.2)</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Juice</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1(1.8)</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1(1.9)</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2(1.9)</w:t>
            </w:r>
          </w:p>
        </w:tc>
      </w:tr>
      <w:tr w:rsidR="00726F09" w:rsidRPr="00FB5D69" w:rsidTr="00BF041C">
        <w:trPr>
          <w:trHeight w:val="300"/>
        </w:trPr>
        <w:tc>
          <w:tcPr>
            <w:tcW w:w="3826" w:type="dxa"/>
            <w:gridSpan w:val="2"/>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Necessity of NPO</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b/>
                <w:bCs/>
                <w:color w:val="000000"/>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To avoid vomiting</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13(24.0)</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35(67.3)</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48(45.3)</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Calibri" w:eastAsia="Times New Roman" w:hAnsi="Calibri" w:cs="Calibri"/>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xml:space="preserve">As requirement of surgery </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7(12.9)</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5(9.6)</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12(11.3)</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Calibri" w:eastAsia="Times New Roman" w:hAnsi="Calibri" w:cs="Calibri"/>
                <w:color w:val="000000"/>
                <w:sz w:val="20"/>
                <w:szCs w:val="20"/>
              </w:rPr>
            </w:pPr>
          </w:p>
        </w:tc>
        <w:tc>
          <w:tcPr>
            <w:tcW w:w="4920" w:type="dxa"/>
            <w:gridSpan w:val="2"/>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Avoid urination and bowel movement   4(7.4)</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xml:space="preserve">     2(3.8)</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6(5.7)</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Calibri" w:eastAsia="Times New Roman" w:hAnsi="Calibri" w:cs="Calibri"/>
                <w:color w:val="000000"/>
                <w:sz w:val="20"/>
                <w:szCs w:val="20"/>
              </w:rPr>
            </w:pPr>
          </w:p>
        </w:tc>
        <w:tc>
          <w:tcPr>
            <w:tcW w:w="35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Food may obstruct airway</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1(1.8)</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1(1.9)</w:t>
            </w:r>
          </w:p>
        </w:tc>
        <w:tc>
          <w:tcPr>
            <w:tcW w:w="1360" w:type="dxa"/>
            <w:tcBorders>
              <w:top w:val="nil"/>
              <w:left w:val="nil"/>
              <w:bottom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2(1.9)</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Calibri" w:eastAsia="Times New Roman" w:hAnsi="Calibri" w:cs="Calibri"/>
                <w:color w:val="000000"/>
                <w:sz w:val="20"/>
                <w:szCs w:val="20"/>
              </w:rPr>
            </w:pPr>
          </w:p>
        </w:tc>
        <w:tc>
          <w:tcPr>
            <w:tcW w:w="3560" w:type="dxa"/>
            <w:tcBorders>
              <w:top w:val="nil"/>
              <w:left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Avoid high sugar level</w:t>
            </w:r>
          </w:p>
        </w:tc>
        <w:tc>
          <w:tcPr>
            <w:tcW w:w="1360" w:type="dxa"/>
            <w:tcBorders>
              <w:top w:val="nil"/>
              <w:left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1(1.8)</w:t>
            </w:r>
          </w:p>
        </w:tc>
        <w:tc>
          <w:tcPr>
            <w:tcW w:w="1360" w:type="dxa"/>
            <w:tcBorders>
              <w:top w:val="nil"/>
              <w:left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w:t>
            </w:r>
          </w:p>
        </w:tc>
        <w:tc>
          <w:tcPr>
            <w:tcW w:w="1360" w:type="dxa"/>
            <w:tcBorders>
              <w:top w:val="nil"/>
              <w:left w:val="nil"/>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1(0.9)</w:t>
            </w:r>
          </w:p>
        </w:tc>
      </w:tr>
      <w:tr w:rsidR="00726F09" w:rsidRPr="00FB5D69" w:rsidTr="00BF041C">
        <w:trPr>
          <w:trHeight w:val="300"/>
        </w:trPr>
        <w:tc>
          <w:tcPr>
            <w:tcW w:w="266" w:type="dxa"/>
            <w:tcBorders>
              <w:top w:val="nil"/>
              <w:left w:val="nil"/>
              <w:bottom w:val="nil"/>
              <w:right w:val="nil"/>
            </w:tcBorders>
            <w:shd w:val="clear" w:color="auto" w:fill="auto"/>
            <w:noWrap/>
            <w:vAlign w:val="bottom"/>
            <w:hideMark/>
          </w:tcPr>
          <w:p w:rsidR="00726F09" w:rsidRPr="00FB5D69" w:rsidRDefault="00726F09" w:rsidP="00FF60AC">
            <w:pPr>
              <w:spacing w:after="0" w:line="240" w:lineRule="auto"/>
              <w:jc w:val="both"/>
              <w:rPr>
                <w:rFonts w:ascii="Calibri" w:eastAsia="Times New Roman" w:hAnsi="Calibri" w:cs="Calibri"/>
                <w:color w:val="000000"/>
                <w:sz w:val="20"/>
                <w:szCs w:val="20"/>
              </w:rPr>
            </w:pPr>
          </w:p>
        </w:tc>
        <w:tc>
          <w:tcPr>
            <w:tcW w:w="3560" w:type="dxa"/>
            <w:tcBorders>
              <w:top w:val="nil"/>
              <w:left w:val="nil"/>
              <w:bottom w:val="single" w:sz="4" w:space="0" w:color="auto"/>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xml:space="preserve">I don’t know </w:t>
            </w:r>
          </w:p>
        </w:tc>
        <w:tc>
          <w:tcPr>
            <w:tcW w:w="1360" w:type="dxa"/>
            <w:tcBorders>
              <w:top w:val="nil"/>
              <w:left w:val="nil"/>
              <w:bottom w:val="single" w:sz="4" w:space="0" w:color="auto"/>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31(57.4)</w:t>
            </w:r>
          </w:p>
        </w:tc>
        <w:tc>
          <w:tcPr>
            <w:tcW w:w="1360" w:type="dxa"/>
            <w:tcBorders>
              <w:top w:val="nil"/>
              <w:left w:val="nil"/>
              <w:bottom w:val="single" w:sz="4" w:space="0" w:color="auto"/>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8(15.3)</w:t>
            </w:r>
          </w:p>
        </w:tc>
        <w:tc>
          <w:tcPr>
            <w:tcW w:w="1360" w:type="dxa"/>
            <w:tcBorders>
              <w:top w:val="nil"/>
              <w:left w:val="nil"/>
              <w:bottom w:val="single" w:sz="4" w:space="0" w:color="auto"/>
              <w:right w:val="nil"/>
            </w:tcBorders>
            <w:shd w:val="clear" w:color="auto" w:fill="auto"/>
            <w:noWrap/>
            <w:vAlign w:val="center"/>
            <w:hideMark/>
          </w:tcPr>
          <w:p w:rsidR="00726F09" w:rsidRPr="00FB5D69" w:rsidRDefault="00726F09"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39(36.8)</w:t>
            </w:r>
          </w:p>
        </w:tc>
      </w:tr>
    </w:tbl>
    <w:p w:rsidR="00726F09" w:rsidRPr="00FB5D69" w:rsidRDefault="00726F09" w:rsidP="00FF60AC">
      <w:pPr>
        <w:jc w:val="both"/>
        <w:rPr>
          <w:rFonts w:ascii="Times New Roman" w:hAnsi="Times New Roman" w:cs="Times New Roman"/>
          <w:sz w:val="20"/>
          <w:szCs w:val="20"/>
        </w:rPr>
      </w:pPr>
    </w:p>
    <w:p w:rsidR="00726F09" w:rsidRPr="00FB5D69" w:rsidRDefault="00427040" w:rsidP="00FF60AC">
      <w:pPr>
        <w:jc w:val="both"/>
        <w:rPr>
          <w:rFonts w:ascii="Times New Roman" w:hAnsi="Times New Roman" w:cs="Times New Roman"/>
          <w:b/>
          <w:sz w:val="20"/>
          <w:szCs w:val="20"/>
        </w:rPr>
      </w:pPr>
      <w:r>
        <w:rPr>
          <w:rFonts w:ascii="Times New Roman" w:hAnsi="Times New Roman" w:cs="Times New Roman"/>
          <w:b/>
          <w:sz w:val="20"/>
          <w:szCs w:val="20"/>
        </w:rPr>
        <w:t xml:space="preserve">3.2 </w:t>
      </w:r>
      <w:r w:rsidR="00583D57" w:rsidRPr="00FB5D69">
        <w:rPr>
          <w:rFonts w:ascii="Times New Roman" w:hAnsi="Times New Roman" w:cs="Times New Roman"/>
          <w:b/>
          <w:sz w:val="20"/>
          <w:szCs w:val="20"/>
        </w:rPr>
        <w:t>Preoperative Discomforts</w:t>
      </w:r>
    </w:p>
    <w:p w:rsidR="00583D57" w:rsidRPr="00FB5D69" w:rsidRDefault="00583D57" w:rsidP="00FF60AC">
      <w:pPr>
        <w:pStyle w:val="Default"/>
        <w:jc w:val="both"/>
        <w:rPr>
          <w:color w:val="auto"/>
          <w:sz w:val="20"/>
          <w:szCs w:val="20"/>
        </w:rPr>
      </w:pPr>
      <w:r w:rsidRPr="00FB5D69">
        <w:rPr>
          <w:sz w:val="20"/>
          <w:szCs w:val="20"/>
        </w:rPr>
        <w:t xml:space="preserve">The feelings </w:t>
      </w:r>
      <w:r w:rsidR="003E06D7">
        <w:rPr>
          <w:sz w:val="20"/>
          <w:szCs w:val="20"/>
        </w:rPr>
        <w:t xml:space="preserve">of thirst and hunger were the </w:t>
      </w:r>
      <w:r w:rsidRPr="00FB5D69">
        <w:rPr>
          <w:sz w:val="20"/>
          <w:szCs w:val="20"/>
        </w:rPr>
        <w:t>most</w:t>
      </w:r>
      <w:r w:rsidR="003E06D7">
        <w:rPr>
          <w:sz w:val="20"/>
          <w:szCs w:val="20"/>
        </w:rPr>
        <w:t xml:space="preserve"> common</w:t>
      </w:r>
      <w:r w:rsidRPr="00FB5D69">
        <w:rPr>
          <w:sz w:val="20"/>
          <w:szCs w:val="20"/>
        </w:rPr>
        <w:t xml:space="preserve"> complains by both groups of participants. The feeling of hunger 42.3% (n=22), nausea 7.6% (n=4), thirst 36.5% (n=19) and dizziness 1.9% (n=1) were comparatively higher in those who were given an instruction </w:t>
      </w:r>
      <w:r w:rsidRPr="00FB5D69">
        <w:rPr>
          <w:color w:val="auto"/>
          <w:sz w:val="20"/>
          <w:szCs w:val="20"/>
        </w:rPr>
        <w:t>about NPO according to ASA guidelines. One mother from traditional and one from standard groups experienced vomiting and dizziness, respectively.</w:t>
      </w:r>
    </w:p>
    <w:p w:rsidR="00583D57" w:rsidRPr="00FB5D69" w:rsidRDefault="00583D57" w:rsidP="00FF60AC">
      <w:pPr>
        <w:pStyle w:val="Default"/>
        <w:jc w:val="both"/>
        <w:rPr>
          <w:color w:val="auto"/>
          <w:sz w:val="20"/>
          <w:szCs w:val="20"/>
        </w:rPr>
      </w:pPr>
    </w:p>
    <w:p w:rsidR="00583D57" w:rsidRPr="00427040" w:rsidRDefault="00427040" w:rsidP="00FF60AC">
      <w:pPr>
        <w:pStyle w:val="Default"/>
        <w:jc w:val="both"/>
        <w:rPr>
          <w:b/>
          <w:color w:val="auto"/>
          <w:sz w:val="20"/>
          <w:szCs w:val="20"/>
        </w:rPr>
      </w:pPr>
      <w:r>
        <w:rPr>
          <w:b/>
          <w:color w:val="auto"/>
          <w:sz w:val="20"/>
          <w:szCs w:val="20"/>
        </w:rPr>
        <w:t>Table 3. Preoperative F</w:t>
      </w:r>
      <w:r w:rsidR="00583D57" w:rsidRPr="00427040">
        <w:rPr>
          <w:b/>
          <w:color w:val="auto"/>
          <w:sz w:val="20"/>
          <w:szCs w:val="20"/>
        </w:rPr>
        <w:t>asting</w:t>
      </w:r>
    </w:p>
    <w:tbl>
      <w:tblPr>
        <w:tblW w:w="7200" w:type="dxa"/>
        <w:tblLook w:val="04A0" w:firstRow="1" w:lastRow="0" w:firstColumn="1" w:lastColumn="0" w:noHBand="0" w:noVBand="1"/>
      </w:tblPr>
      <w:tblGrid>
        <w:gridCol w:w="372"/>
        <w:gridCol w:w="2598"/>
        <w:gridCol w:w="1440"/>
        <w:gridCol w:w="1177"/>
        <w:gridCol w:w="1613"/>
      </w:tblGrid>
      <w:tr w:rsidR="00583D57" w:rsidRPr="00FB5D69" w:rsidTr="00BF041C">
        <w:trPr>
          <w:trHeight w:val="300"/>
        </w:trPr>
        <w:tc>
          <w:tcPr>
            <w:tcW w:w="2970" w:type="dxa"/>
            <w:gridSpan w:val="2"/>
            <w:vMerge w:val="restart"/>
            <w:tcBorders>
              <w:top w:val="single" w:sz="4" w:space="0" w:color="auto"/>
              <w:left w:val="nil"/>
              <w:bottom w:val="single" w:sz="4" w:space="0" w:color="000000"/>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Variables</w:t>
            </w:r>
          </w:p>
        </w:tc>
        <w:tc>
          <w:tcPr>
            <w:tcW w:w="1440" w:type="dxa"/>
            <w:tcBorders>
              <w:top w:val="single" w:sz="4" w:space="0" w:color="auto"/>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 xml:space="preserve">Traditional (N=54) </w:t>
            </w:r>
          </w:p>
        </w:tc>
        <w:tc>
          <w:tcPr>
            <w:tcW w:w="1177" w:type="dxa"/>
            <w:tcBorders>
              <w:top w:val="single" w:sz="4" w:space="0" w:color="auto"/>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Standard (N=52)</w:t>
            </w:r>
          </w:p>
        </w:tc>
        <w:tc>
          <w:tcPr>
            <w:tcW w:w="1613" w:type="dxa"/>
            <w:tcBorders>
              <w:top w:val="single" w:sz="4" w:space="0" w:color="auto"/>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Total (N=106)</w:t>
            </w:r>
          </w:p>
        </w:tc>
      </w:tr>
      <w:tr w:rsidR="00583D57" w:rsidRPr="00FB5D69" w:rsidTr="00BF041C">
        <w:trPr>
          <w:trHeight w:val="300"/>
        </w:trPr>
        <w:tc>
          <w:tcPr>
            <w:tcW w:w="2970" w:type="dxa"/>
            <w:gridSpan w:val="2"/>
            <w:vMerge/>
            <w:tcBorders>
              <w:top w:val="single" w:sz="4" w:space="0" w:color="auto"/>
              <w:left w:val="nil"/>
              <w:bottom w:val="single" w:sz="4" w:space="0" w:color="000000"/>
              <w:right w:val="nil"/>
            </w:tcBorders>
            <w:vAlign w:val="center"/>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
        </w:tc>
        <w:tc>
          <w:tcPr>
            <w:tcW w:w="1440"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177"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613"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r>
      <w:tr w:rsidR="00583D57" w:rsidRPr="00FB5D69" w:rsidTr="00BF041C">
        <w:trPr>
          <w:trHeight w:val="300"/>
        </w:trPr>
        <w:tc>
          <w:tcPr>
            <w:tcW w:w="2970" w:type="dxa"/>
            <w:gridSpan w:val="2"/>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feel hunger</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8(14.8)</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22(42.3)</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30(28.3)</w:t>
            </w: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46(85.1)</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30(57.6)</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76(71.70)</w:t>
            </w:r>
          </w:p>
        </w:tc>
      </w:tr>
      <w:tr w:rsidR="00583D57" w:rsidRPr="00FB5D69" w:rsidTr="00BF041C">
        <w:trPr>
          <w:trHeight w:val="300"/>
        </w:trPr>
        <w:tc>
          <w:tcPr>
            <w:tcW w:w="2970" w:type="dxa"/>
            <w:gridSpan w:val="2"/>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feel nausea</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2(3.7)</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4(7.6)</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6(5.7)</w:t>
            </w: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52(96.2)</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48(92.3)</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100(94.3)</w:t>
            </w:r>
          </w:p>
        </w:tc>
      </w:tr>
      <w:tr w:rsidR="00583D57" w:rsidRPr="00FB5D69" w:rsidTr="00BF041C">
        <w:trPr>
          <w:trHeight w:val="300"/>
        </w:trPr>
        <w:tc>
          <w:tcPr>
            <w:tcW w:w="2970" w:type="dxa"/>
            <w:gridSpan w:val="2"/>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have thirst</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15(27.7)</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19(36.5)</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33(31.1)</w:t>
            </w: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39(72.2)</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33(63.4)</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73(68.9)</w:t>
            </w:r>
          </w:p>
        </w:tc>
      </w:tr>
      <w:tr w:rsidR="00583D57" w:rsidRPr="00FB5D69" w:rsidTr="00BF041C">
        <w:trPr>
          <w:trHeight w:val="300"/>
        </w:trPr>
        <w:tc>
          <w:tcPr>
            <w:tcW w:w="4410" w:type="dxa"/>
            <w:gridSpan w:val="3"/>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have vomiting</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1(1.8)</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1(0.9)</w:t>
            </w: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53(98.1)</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52(100)</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105(99.1)</w:t>
            </w:r>
          </w:p>
        </w:tc>
      </w:tr>
      <w:tr w:rsidR="00583D57" w:rsidRPr="00FB5D69" w:rsidTr="00BF041C">
        <w:trPr>
          <w:trHeight w:val="300"/>
        </w:trPr>
        <w:tc>
          <w:tcPr>
            <w:tcW w:w="4410" w:type="dxa"/>
            <w:gridSpan w:val="3"/>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have dizziness</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r>
      <w:tr w:rsidR="00583D57" w:rsidRPr="00FB5D69" w:rsidTr="00BF041C">
        <w:trPr>
          <w:trHeight w:val="300"/>
        </w:trPr>
        <w:tc>
          <w:tcPr>
            <w:tcW w:w="372"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2598"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44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w:t>
            </w:r>
          </w:p>
        </w:tc>
        <w:tc>
          <w:tcPr>
            <w:tcW w:w="1177"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1(1.9)</w:t>
            </w:r>
          </w:p>
        </w:tc>
        <w:tc>
          <w:tcPr>
            <w:tcW w:w="1613"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1(0.9)</w:t>
            </w:r>
          </w:p>
        </w:tc>
      </w:tr>
      <w:tr w:rsidR="00583D57" w:rsidRPr="00FB5D69" w:rsidTr="00BF041C">
        <w:trPr>
          <w:trHeight w:val="300"/>
        </w:trPr>
        <w:tc>
          <w:tcPr>
            <w:tcW w:w="372"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w:t>
            </w:r>
          </w:p>
        </w:tc>
        <w:tc>
          <w:tcPr>
            <w:tcW w:w="2598"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440"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54(100)</w:t>
            </w:r>
          </w:p>
        </w:tc>
        <w:tc>
          <w:tcPr>
            <w:tcW w:w="1177"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51(98.0) </w:t>
            </w:r>
          </w:p>
        </w:tc>
        <w:tc>
          <w:tcPr>
            <w:tcW w:w="1613"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105(99.1)</w:t>
            </w:r>
          </w:p>
        </w:tc>
      </w:tr>
    </w:tbl>
    <w:p w:rsidR="00583D57" w:rsidRPr="00FB5D69" w:rsidRDefault="00583D57" w:rsidP="00FF60AC">
      <w:pPr>
        <w:pStyle w:val="Default"/>
        <w:jc w:val="both"/>
        <w:rPr>
          <w:sz w:val="20"/>
          <w:szCs w:val="20"/>
        </w:rPr>
      </w:pPr>
    </w:p>
    <w:p w:rsidR="00BF041C" w:rsidRPr="00FB5D69" w:rsidRDefault="00BF041C" w:rsidP="00FF60AC">
      <w:pPr>
        <w:pStyle w:val="Default"/>
        <w:jc w:val="both"/>
        <w:rPr>
          <w:sz w:val="20"/>
          <w:szCs w:val="20"/>
        </w:rPr>
      </w:pPr>
    </w:p>
    <w:p w:rsidR="00583D57" w:rsidRPr="00FB5D69" w:rsidRDefault="00427040" w:rsidP="00FF60AC">
      <w:pPr>
        <w:pStyle w:val="Default"/>
        <w:jc w:val="both"/>
        <w:rPr>
          <w:b/>
          <w:sz w:val="20"/>
          <w:szCs w:val="20"/>
        </w:rPr>
      </w:pPr>
      <w:r>
        <w:rPr>
          <w:b/>
          <w:sz w:val="20"/>
          <w:szCs w:val="20"/>
        </w:rPr>
        <w:t>3.3 Intraoperative O</w:t>
      </w:r>
      <w:r w:rsidR="00583D57" w:rsidRPr="00FB5D69">
        <w:rPr>
          <w:b/>
          <w:sz w:val="20"/>
          <w:szCs w:val="20"/>
        </w:rPr>
        <w:t>utcomes</w:t>
      </w:r>
    </w:p>
    <w:p w:rsidR="00583D57" w:rsidRPr="00FB5D69" w:rsidRDefault="00583D57" w:rsidP="00FF60AC">
      <w:pPr>
        <w:pStyle w:val="Default"/>
        <w:jc w:val="both"/>
        <w:rPr>
          <w:sz w:val="20"/>
          <w:szCs w:val="20"/>
        </w:rPr>
      </w:pPr>
      <w:r w:rsidRPr="00FB5D69">
        <w:rPr>
          <w:sz w:val="20"/>
          <w:szCs w:val="20"/>
        </w:rPr>
        <w:t>With regard to intraoperative discomfort</w:t>
      </w:r>
      <w:r w:rsidR="00226D32">
        <w:rPr>
          <w:sz w:val="20"/>
          <w:szCs w:val="20"/>
        </w:rPr>
        <w:t>,</w:t>
      </w:r>
      <w:r w:rsidRPr="00FB5D69">
        <w:rPr>
          <w:sz w:val="20"/>
          <w:szCs w:val="20"/>
        </w:rPr>
        <w:t xml:space="preserve"> 8.5% (n=9) of all the participants had feeling of nausea or vomiting, in which, it was observed in 14.8% (n=8) of the traditional approaches and </w:t>
      </w:r>
      <w:r w:rsidR="003E06D7">
        <w:rPr>
          <w:sz w:val="20"/>
          <w:szCs w:val="20"/>
        </w:rPr>
        <w:t>a</w:t>
      </w:r>
      <w:r w:rsidRPr="00FB5D69">
        <w:rPr>
          <w:sz w:val="20"/>
          <w:szCs w:val="20"/>
        </w:rPr>
        <w:t xml:space="preserve"> single case was found among the standard practice. Epigastric discomforts was experienced in 6.6% (n=7) of the mothers with 9.2% (n=5) of them being from the traditional group. (Table 4)</w:t>
      </w:r>
    </w:p>
    <w:p w:rsidR="00583D57" w:rsidRPr="00FB5D69" w:rsidRDefault="00583D57" w:rsidP="00FF60AC">
      <w:pPr>
        <w:pStyle w:val="Default"/>
        <w:jc w:val="both"/>
        <w:rPr>
          <w:sz w:val="20"/>
          <w:szCs w:val="20"/>
        </w:rPr>
      </w:pPr>
    </w:p>
    <w:p w:rsidR="00583D57" w:rsidRPr="00427040" w:rsidRDefault="00583D57" w:rsidP="00FF60AC">
      <w:pPr>
        <w:pStyle w:val="Default"/>
        <w:jc w:val="both"/>
        <w:rPr>
          <w:b/>
          <w:sz w:val="20"/>
          <w:szCs w:val="20"/>
        </w:rPr>
      </w:pPr>
      <w:r w:rsidRPr="00427040">
        <w:rPr>
          <w:b/>
          <w:sz w:val="20"/>
          <w:szCs w:val="20"/>
        </w:rPr>
        <w:t>Table 4.</w:t>
      </w:r>
      <w:r w:rsidR="00427040" w:rsidRPr="00427040">
        <w:rPr>
          <w:b/>
          <w:sz w:val="20"/>
          <w:szCs w:val="20"/>
        </w:rPr>
        <w:t xml:space="preserve"> Intraoperative O</w:t>
      </w:r>
      <w:r w:rsidRPr="00427040">
        <w:rPr>
          <w:b/>
          <w:sz w:val="20"/>
          <w:szCs w:val="20"/>
        </w:rPr>
        <w:t>utcomes</w:t>
      </w:r>
    </w:p>
    <w:tbl>
      <w:tblPr>
        <w:tblW w:w="8502" w:type="dxa"/>
        <w:tblLook w:val="04A0" w:firstRow="1" w:lastRow="0" w:firstColumn="1" w:lastColumn="0" w:noHBand="0" w:noVBand="1"/>
      </w:tblPr>
      <w:tblGrid>
        <w:gridCol w:w="3060"/>
        <w:gridCol w:w="1710"/>
        <w:gridCol w:w="1390"/>
        <w:gridCol w:w="1306"/>
        <w:gridCol w:w="1036"/>
      </w:tblGrid>
      <w:tr w:rsidR="00583D57" w:rsidRPr="00FB5D69" w:rsidTr="00BF041C">
        <w:trPr>
          <w:trHeight w:val="300"/>
        </w:trPr>
        <w:tc>
          <w:tcPr>
            <w:tcW w:w="4770" w:type="dxa"/>
            <w:gridSpan w:val="2"/>
            <w:vMerge w:val="restart"/>
            <w:tcBorders>
              <w:top w:val="single" w:sz="4" w:space="0" w:color="auto"/>
              <w:left w:val="nil"/>
              <w:bottom w:val="single" w:sz="4" w:space="0" w:color="000000"/>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Variables</w:t>
            </w:r>
          </w:p>
        </w:tc>
        <w:tc>
          <w:tcPr>
            <w:tcW w:w="1390" w:type="dxa"/>
            <w:tcBorders>
              <w:top w:val="single" w:sz="4" w:space="0" w:color="auto"/>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 xml:space="preserve">Traditional (N=54) </w:t>
            </w:r>
          </w:p>
        </w:tc>
        <w:tc>
          <w:tcPr>
            <w:tcW w:w="1306" w:type="dxa"/>
            <w:tcBorders>
              <w:top w:val="single" w:sz="4" w:space="0" w:color="auto"/>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Standard (N=52)</w:t>
            </w:r>
          </w:p>
        </w:tc>
        <w:tc>
          <w:tcPr>
            <w:tcW w:w="1036" w:type="dxa"/>
            <w:tcBorders>
              <w:top w:val="single" w:sz="4" w:space="0" w:color="auto"/>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Total (N=106)</w:t>
            </w:r>
          </w:p>
        </w:tc>
      </w:tr>
      <w:tr w:rsidR="00583D57" w:rsidRPr="00FB5D69" w:rsidTr="00BF041C">
        <w:trPr>
          <w:trHeight w:val="300"/>
        </w:trPr>
        <w:tc>
          <w:tcPr>
            <w:tcW w:w="4770" w:type="dxa"/>
            <w:gridSpan w:val="2"/>
            <w:vMerge/>
            <w:tcBorders>
              <w:top w:val="single" w:sz="4" w:space="0" w:color="auto"/>
              <w:left w:val="nil"/>
              <w:bottom w:val="single" w:sz="4" w:space="0" w:color="000000"/>
              <w:right w:val="nil"/>
            </w:tcBorders>
            <w:vAlign w:val="center"/>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
        </w:tc>
        <w:tc>
          <w:tcPr>
            <w:tcW w:w="1390"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306"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036"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r>
      <w:tr w:rsidR="00583D57" w:rsidRPr="00FB5D69" w:rsidTr="00BF041C">
        <w:trPr>
          <w:trHeight w:val="300"/>
        </w:trPr>
        <w:tc>
          <w:tcPr>
            <w:tcW w:w="6160" w:type="dxa"/>
            <w:gridSpan w:val="3"/>
            <w:tcBorders>
              <w:top w:val="single" w:sz="4" w:space="0" w:color="auto"/>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Does the patient receive premedication</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r>
      <w:tr w:rsidR="00583D57" w:rsidRPr="00FB5D69" w:rsidTr="00BF041C">
        <w:trPr>
          <w:trHeight w:val="300"/>
        </w:trPr>
        <w:tc>
          <w:tcPr>
            <w:tcW w:w="306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9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48(88.8)</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49(94.2)</w:t>
            </w: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97(91.5)</w:t>
            </w:r>
          </w:p>
        </w:tc>
      </w:tr>
      <w:tr w:rsidR="00583D57" w:rsidRPr="00FB5D69" w:rsidTr="00BF041C">
        <w:trPr>
          <w:trHeight w:val="300"/>
        </w:trPr>
        <w:tc>
          <w:tcPr>
            <w:tcW w:w="306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9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6(11.1)</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3(5.7)</w:t>
            </w: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9(8.5)</w:t>
            </w:r>
          </w:p>
        </w:tc>
      </w:tr>
      <w:tr w:rsidR="00583D57" w:rsidRPr="00FB5D69" w:rsidTr="00BF041C">
        <w:trPr>
          <w:trHeight w:val="300"/>
        </w:trPr>
        <w:tc>
          <w:tcPr>
            <w:tcW w:w="4770" w:type="dxa"/>
            <w:gridSpan w:val="2"/>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Type of premedication given</w:t>
            </w:r>
          </w:p>
        </w:tc>
        <w:tc>
          <w:tcPr>
            <w:tcW w:w="139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r>
      <w:tr w:rsidR="00583D57" w:rsidRPr="00FB5D69" w:rsidTr="00BF041C">
        <w:trPr>
          <w:trHeight w:val="300"/>
        </w:trPr>
        <w:tc>
          <w:tcPr>
            <w:tcW w:w="306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3100" w:type="dxa"/>
            <w:gridSpan w:val="2"/>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Metochlopramide  46(85.1)</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49(94.2)</w:t>
            </w: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95(97.9)</w:t>
            </w:r>
          </w:p>
        </w:tc>
      </w:tr>
      <w:tr w:rsidR="00583D57" w:rsidRPr="00FB5D69" w:rsidTr="00BF041C">
        <w:trPr>
          <w:trHeight w:val="300"/>
        </w:trPr>
        <w:tc>
          <w:tcPr>
            <w:tcW w:w="306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Hyoscine</w:t>
            </w:r>
          </w:p>
        </w:tc>
        <w:tc>
          <w:tcPr>
            <w:tcW w:w="139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2(3.7)</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w:t>
            </w: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2(2.1)</w:t>
            </w:r>
          </w:p>
        </w:tc>
      </w:tr>
      <w:tr w:rsidR="00583D57" w:rsidRPr="00FB5D69" w:rsidTr="00BF041C">
        <w:trPr>
          <w:trHeight w:val="300"/>
        </w:trPr>
        <w:tc>
          <w:tcPr>
            <w:tcW w:w="6160" w:type="dxa"/>
            <w:gridSpan w:val="3"/>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Does the patient has nausea/vomiting</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r>
      <w:tr w:rsidR="00583D57" w:rsidRPr="00FB5D69" w:rsidTr="00BF041C">
        <w:trPr>
          <w:trHeight w:val="300"/>
        </w:trPr>
        <w:tc>
          <w:tcPr>
            <w:tcW w:w="306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9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8(14.8)</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1(1.9)</w:t>
            </w: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9(8.5)</w:t>
            </w:r>
          </w:p>
        </w:tc>
      </w:tr>
      <w:tr w:rsidR="00583D57" w:rsidRPr="00FB5D69" w:rsidTr="00BF041C">
        <w:trPr>
          <w:trHeight w:val="300"/>
        </w:trPr>
        <w:tc>
          <w:tcPr>
            <w:tcW w:w="306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p>
        </w:tc>
        <w:tc>
          <w:tcPr>
            <w:tcW w:w="1710" w:type="dxa"/>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9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46(85.1)</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51(98.0)</w:t>
            </w: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97(91.5)</w:t>
            </w:r>
          </w:p>
        </w:tc>
      </w:tr>
      <w:tr w:rsidR="00583D57" w:rsidRPr="00FB5D69" w:rsidTr="00BF041C">
        <w:trPr>
          <w:trHeight w:val="300"/>
        </w:trPr>
        <w:tc>
          <w:tcPr>
            <w:tcW w:w="7466" w:type="dxa"/>
            <w:gridSpan w:val="4"/>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Does the patient has epigastric discomforts</w:t>
            </w: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b/>
                <w:bCs/>
                <w:color w:val="000000"/>
                <w:sz w:val="20"/>
                <w:szCs w:val="20"/>
              </w:rPr>
            </w:pPr>
          </w:p>
        </w:tc>
      </w:tr>
      <w:tr w:rsidR="00583D57" w:rsidRPr="00FB5D69" w:rsidTr="00BF041C">
        <w:trPr>
          <w:trHeight w:val="300"/>
        </w:trPr>
        <w:tc>
          <w:tcPr>
            <w:tcW w:w="306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90"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5(9.2)</w:t>
            </w:r>
          </w:p>
        </w:tc>
        <w:tc>
          <w:tcPr>
            <w:tcW w:w="130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2(3.8)</w:t>
            </w:r>
          </w:p>
        </w:tc>
        <w:tc>
          <w:tcPr>
            <w:tcW w:w="1036" w:type="dxa"/>
            <w:tcBorders>
              <w:top w:val="nil"/>
              <w:left w:val="nil"/>
              <w:bottom w:val="nil"/>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7(6.6)</w:t>
            </w:r>
          </w:p>
        </w:tc>
      </w:tr>
      <w:tr w:rsidR="00583D57" w:rsidRPr="00FB5D69" w:rsidTr="00BF041C">
        <w:trPr>
          <w:trHeight w:val="300"/>
        </w:trPr>
        <w:tc>
          <w:tcPr>
            <w:tcW w:w="3060"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w:t>
            </w:r>
          </w:p>
        </w:tc>
        <w:tc>
          <w:tcPr>
            <w:tcW w:w="1710" w:type="dxa"/>
            <w:tcBorders>
              <w:top w:val="nil"/>
              <w:left w:val="nil"/>
              <w:bottom w:val="single" w:sz="4" w:space="0" w:color="auto"/>
              <w:right w:val="nil"/>
            </w:tcBorders>
            <w:shd w:val="clear" w:color="auto" w:fill="auto"/>
            <w:noWrap/>
            <w:vAlign w:val="center"/>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90"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49(90.7)</w:t>
            </w:r>
          </w:p>
        </w:tc>
        <w:tc>
          <w:tcPr>
            <w:tcW w:w="1306"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50(96.1)</w:t>
            </w:r>
          </w:p>
        </w:tc>
        <w:tc>
          <w:tcPr>
            <w:tcW w:w="1036" w:type="dxa"/>
            <w:tcBorders>
              <w:top w:val="nil"/>
              <w:left w:val="nil"/>
              <w:bottom w:val="single" w:sz="4" w:space="0" w:color="auto"/>
              <w:right w:val="nil"/>
            </w:tcBorders>
            <w:shd w:val="clear" w:color="auto" w:fill="auto"/>
            <w:noWrap/>
            <w:vAlign w:val="bottom"/>
            <w:hideMark/>
          </w:tcPr>
          <w:p w:rsidR="00583D57" w:rsidRPr="00FB5D69" w:rsidRDefault="00583D5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99(93.4)</w:t>
            </w:r>
          </w:p>
        </w:tc>
      </w:tr>
    </w:tbl>
    <w:p w:rsidR="00583D57" w:rsidRPr="00FB5D69" w:rsidRDefault="00583D57" w:rsidP="00FF60AC">
      <w:pPr>
        <w:pStyle w:val="Default"/>
        <w:jc w:val="both"/>
        <w:rPr>
          <w:sz w:val="20"/>
          <w:szCs w:val="20"/>
        </w:rPr>
      </w:pPr>
    </w:p>
    <w:p w:rsidR="00BF041C" w:rsidRPr="00FB5D69" w:rsidRDefault="00BF041C" w:rsidP="00FF60AC">
      <w:pPr>
        <w:pStyle w:val="Default"/>
        <w:jc w:val="both"/>
        <w:rPr>
          <w:b/>
          <w:sz w:val="20"/>
          <w:szCs w:val="20"/>
        </w:rPr>
      </w:pPr>
    </w:p>
    <w:p w:rsidR="00663997" w:rsidRPr="00FB5D69" w:rsidRDefault="00427040" w:rsidP="00FF60AC">
      <w:pPr>
        <w:pStyle w:val="Default"/>
        <w:jc w:val="both"/>
        <w:rPr>
          <w:b/>
          <w:sz w:val="20"/>
          <w:szCs w:val="20"/>
        </w:rPr>
      </w:pPr>
      <w:r>
        <w:rPr>
          <w:b/>
          <w:sz w:val="20"/>
          <w:szCs w:val="20"/>
        </w:rPr>
        <w:t xml:space="preserve">3.4 </w:t>
      </w:r>
      <w:r w:rsidR="00663997" w:rsidRPr="00FB5D69">
        <w:rPr>
          <w:b/>
          <w:sz w:val="20"/>
          <w:szCs w:val="20"/>
        </w:rPr>
        <w:t>Postoperative Discomforts</w:t>
      </w:r>
    </w:p>
    <w:p w:rsidR="00663997" w:rsidRPr="00FB5D69" w:rsidRDefault="00663997" w:rsidP="00FF60AC">
      <w:pPr>
        <w:pStyle w:val="Default"/>
        <w:jc w:val="both"/>
        <w:rPr>
          <w:sz w:val="20"/>
          <w:szCs w:val="20"/>
        </w:rPr>
      </w:pPr>
    </w:p>
    <w:p w:rsidR="00663997" w:rsidRPr="00FB5D69" w:rsidRDefault="00663997" w:rsidP="00FF60AC">
      <w:pPr>
        <w:pStyle w:val="Default"/>
        <w:jc w:val="both"/>
        <w:rPr>
          <w:sz w:val="20"/>
          <w:szCs w:val="20"/>
        </w:rPr>
      </w:pPr>
      <w:r w:rsidRPr="00FB5D69">
        <w:rPr>
          <w:sz w:val="20"/>
          <w:szCs w:val="20"/>
        </w:rPr>
        <w:t xml:space="preserve">63.2% (n=67) of the participants had feeling of thirst postoperatively, of whom 57.4% (n=31) belonged to the traditional practice and 69.2% (n=36) to the standard practice. The rest had nausea, vomiting and dizziness with percentiles of 4.7% (n=5), 2.8% (n=3) and 1.9% (n=2), respectively. The feeling of nausea was exclusively happening in those who followed traditional practice 9.2% (n=5). Similarly, dizziness </w:t>
      </w:r>
      <w:r w:rsidR="003E06D7">
        <w:rPr>
          <w:sz w:val="20"/>
          <w:szCs w:val="20"/>
        </w:rPr>
        <w:t>occu</w:t>
      </w:r>
      <w:r w:rsidR="001C1265">
        <w:rPr>
          <w:sz w:val="20"/>
          <w:szCs w:val="20"/>
        </w:rPr>
        <w:t>r</w:t>
      </w:r>
      <w:r w:rsidR="003E06D7">
        <w:rPr>
          <w:sz w:val="20"/>
          <w:szCs w:val="20"/>
        </w:rPr>
        <w:t>red</w:t>
      </w:r>
      <w:r w:rsidRPr="00FB5D69">
        <w:rPr>
          <w:sz w:val="20"/>
          <w:szCs w:val="20"/>
        </w:rPr>
        <w:t xml:space="preserve"> in 3.6% (n=2) to those participants on whom the traditional practice was followed. (Table 5)</w:t>
      </w:r>
    </w:p>
    <w:p w:rsidR="00663997" w:rsidRPr="00FB5D69" w:rsidRDefault="00663997" w:rsidP="00FF60AC">
      <w:pPr>
        <w:pStyle w:val="Default"/>
        <w:jc w:val="both"/>
        <w:rPr>
          <w:sz w:val="20"/>
          <w:szCs w:val="20"/>
        </w:rPr>
      </w:pPr>
    </w:p>
    <w:p w:rsidR="00663997" w:rsidRPr="00427040" w:rsidRDefault="00427040" w:rsidP="00FF60AC">
      <w:pPr>
        <w:pStyle w:val="Default"/>
        <w:jc w:val="both"/>
        <w:rPr>
          <w:b/>
          <w:sz w:val="20"/>
          <w:szCs w:val="20"/>
        </w:rPr>
      </w:pPr>
      <w:r w:rsidRPr="00427040">
        <w:rPr>
          <w:b/>
          <w:sz w:val="20"/>
          <w:szCs w:val="20"/>
        </w:rPr>
        <w:t>Table 5. Postoperative D</w:t>
      </w:r>
      <w:r w:rsidR="00663997" w:rsidRPr="00427040">
        <w:rPr>
          <w:b/>
          <w:sz w:val="20"/>
          <w:szCs w:val="20"/>
        </w:rPr>
        <w:t>iscomforts</w:t>
      </w:r>
    </w:p>
    <w:tbl>
      <w:tblPr>
        <w:tblW w:w="7452" w:type="dxa"/>
        <w:tblLook w:val="04A0" w:firstRow="1" w:lastRow="0" w:firstColumn="1" w:lastColumn="0" w:noHBand="0" w:noVBand="1"/>
      </w:tblPr>
      <w:tblGrid>
        <w:gridCol w:w="2439"/>
        <w:gridCol w:w="1251"/>
        <w:gridCol w:w="1390"/>
        <w:gridCol w:w="1216"/>
        <w:gridCol w:w="1156"/>
      </w:tblGrid>
      <w:tr w:rsidR="00663997" w:rsidRPr="00FB5D69" w:rsidTr="00BF041C">
        <w:trPr>
          <w:trHeight w:val="300"/>
        </w:trPr>
        <w:tc>
          <w:tcPr>
            <w:tcW w:w="3690" w:type="dxa"/>
            <w:gridSpan w:val="2"/>
            <w:vMerge w:val="restart"/>
            <w:tcBorders>
              <w:top w:val="single" w:sz="4" w:space="0" w:color="auto"/>
              <w:left w:val="nil"/>
              <w:bottom w:val="single" w:sz="4" w:space="0" w:color="000000"/>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Variables</w:t>
            </w:r>
          </w:p>
        </w:tc>
        <w:tc>
          <w:tcPr>
            <w:tcW w:w="1390" w:type="dxa"/>
            <w:tcBorders>
              <w:top w:val="single" w:sz="4" w:space="0" w:color="auto"/>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 xml:space="preserve">Traditional (N=54) </w:t>
            </w:r>
          </w:p>
        </w:tc>
        <w:tc>
          <w:tcPr>
            <w:tcW w:w="1216" w:type="dxa"/>
            <w:tcBorders>
              <w:top w:val="single" w:sz="4" w:space="0" w:color="auto"/>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Standard (N=52)</w:t>
            </w:r>
          </w:p>
        </w:tc>
        <w:tc>
          <w:tcPr>
            <w:tcW w:w="1156" w:type="dxa"/>
            <w:tcBorders>
              <w:top w:val="single" w:sz="4" w:space="0" w:color="auto"/>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Total (N=106)</w:t>
            </w:r>
          </w:p>
        </w:tc>
      </w:tr>
      <w:tr w:rsidR="00663997" w:rsidRPr="00FB5D69" w:rsidTr="00BF041C">
        <w:trPr>
          <w:trHeight w:val="300"/>
        </w:trPr>
        <w:tc>
          <w:tcPr>
            <w:tcW w:w="3690" w:type="dxa"/>
            <w:gridSpan w:val="2"/>
            <w:vMerge/>
            <w:tcBorders>
              <w:top w:val="single" w:sz="4" w:space="0" w:color="auto"/>
              <w:left w:val="nil"/>
              <w:bottom w:val="single" w:sz="4" w:space="0" w:color="000000"/>
              <w:right w:val="nil"/>
            </w:tcBorders>
            <w:vAlign w:val="center"/>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p>
        </w:tc>
        <w:tc>
          <w:tcPr>
            <w:tcW w:w="1390"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216"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c>
          <w:tcPr>
            <w:tcW w:w="1156"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proofErr w:type="gramStart"/>
            <w:r w:rsidRPr="00FB5D69">
              <w:rPr>
                <w:rFonts w:ascii="Times New Roman" w:eastAsia="Times New Roman" w:hAnsi="Times New Roman" w:cs="Times New Roman"/>
                <w:b/>
                <w:bCs/>
                <w:color w:val="000000"/>
                <w:sz w:val="20"/>
                <w:szCs w:val="20"/>
              </w:rPr>
              <w:t>n</w:t>
            </w:r>
            <w:proofErr w:type="gramEnd"/>
            <w:r w:rsidRPr="00FB5D69">
              <w:rPr>
                <w:rFonts w:ascii="Times New Roman" w:eastAsia="Times New Roman" w:hAnsi="Times New Roman" w:cs="Times New Roman"/>
                <w:b/>
                <w:bCs/>
                <w:color w:val="000000"/>
                <w:sz w:val="20"/>
                <w:szCs w:val="20"/>
              </w:rPr>
              <w:t xml:space="preserve"> (%)</w:t>
            </w:r>
          </w:p>
        </w:tc>
      </w:tr>
      <w:tr w:rsidR="00663997" w:rsidRPr="00FB5D69" w:rsidTr="00BF041C">
        <w:trPr>
          <w:trHeight w:val="300"/>
        </w:trPr>
        <w:tc>
          <w:tcPr>
            <w:tcW w:w="3690" w:type="dxa"/>
            <w:gridSpan w:val="2"/>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feel hunger</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21(38.8)</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34(65.3)</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55(51.9)</w:t>
            </w: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33(61.1)</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18(34.6)</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51(48.1)</w:t>
            </w:r>
          </w:p>
        </w:tc>
      </w:tr>
      <w:tr w:rsidR="00663997" w:rsidRPr="00FB5D69" w:rsidTr="00BF041C">
        <w:trPr>
          <w:trHeight w:val="300"/>
        </w:trPr>
        <w:tc>
          <w:tcPr>
            <w:tcW w:w="3690" w:type="dxa"/>
            <w:gridSpan w:val="2"/>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feel nausea</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5(9.2)</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5(4.7)</w:t>
            </w: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49(90.7)</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52(100)</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101(95.3)</w:t>
            </w:r>
          </w:p>
        </w:tc>
      </w:tr>
      <w:tr w:rsidR="00663997" w:rsidRPr="00FB5D69" w:rsidTr="00BF041C">
        <w:trPr>
          <w:trHeight w:val="300"/>
        </w:trPr>
        <w:tc>
          <w:tcPr>
            <w:tcW w:w="3690" w:type="dxa"/>
            <w:gridSpan w:val="2"/>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have thirst</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31(57.4)</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36(69.2)</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67(63.2)</w:t>
            </w: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23(42.5)</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16(30.7)</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39(36.8)</w:t>
            </w:r>
          </w:p>
        </w:tc>
      </w:tr>
      <w:tr w:rsidR="00663997" w:rsidRPr="00FB5D69" w:rsidTr="00BF041C">
        <w:trPr>
          <w:trHeight w:val="300"/>
        </w:trPr>
        <w:tc>
          <w:tcPr>
            <w:tcW w:w="5080" w:type="dxa"/>
            <w:gridSpan w:val="3"/>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have vomiting</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2(3.6)</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1(1.9)</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3(2.8)</w:t>
            </w: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52(96.3)</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51(98.0)</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103(97.2)</w:t>
            </w:r>
          </w:p>
        </w:tc>
      </w:tr>
      <w:tr w:rsidR="00663997" w:rsidRPr="00FB5D69" w:rsidTr="00BF041C">
        <w:trPr>
          <w:trHeight w:val="300"/>
        </w:trPr>
        <w:tc>
          <w:tcPr>
            <w:tcW w:w="5080" w:type="dxa"/>
            <w:gridSpan w:val="3"/>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Do you have dizziness</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2439"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Yes</w:t>
            </w:r>
          </w:p>
        </w:tc>
        <w:tc>
          <w:tcPr>
            <w:tcW w:w="139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2(3.6)</w:t>
            </w:r>
          </w:p>
        </w:tc>
        <w:tc>
          <w:tcPr>
            <w:tcW w:w="121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w:t>
            </w:r>
          </w:p>
        </w:tc>
        <w:tc>
          <w:tcPr>
            <w:tcW w:w="1156"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2(1.9)</w:t>
            </w:r>
          </w:p>
        </w:tc>
      </w:tr>
      <w:tr w:rsidR="00663997" w:rsidRPr="00FB5D69" w:rsidTr="00BF041C">
        <w:trPr>
          <w:trHeight w:val="300"/>
        </w:trPr>
        <w:tc>
          <w:tcPr>
            <w:tcW w:w="2439"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w:t>
            </w:r>
          </w:p>
        </w:tc>
        <w:tc>
          <w:tcPr>
            <w:tcW w:w="1251"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No</w:t>
            </w:r>
          </w:p>
        </w:tc>
        <w:tc>
          <w:tcPr>
            <w:tcW w:w="1390"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52(96.3)</w:t>
            </w:r>
          </w:p>
        </w:tc>
        <w:tc>
          <w:tcPr>
            <w:tcW w:w="1216"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52(100) </w:t>
            </w:r>
          </w:p>
        </w:tc>
        <w:tc>
          <w:tcPr>
            <w:tcW w:w="1156"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104(98.1)</w:t>
            </w:r>
          </w:p>
        </w:tc>
      </w:tr>
    </w:tbl>
    <w:p w:rsidR="0009312B" w:rsidRPr="00FB5D69" w:rsidRDefault="0009312B" w:rsidP="00FF60AC">
      <w:pPr>
        <w:pStyle w:val="Default"/>
        <w:jc w:val="both"/>
        <w:rPr>
          <w:b/>
          <w:bCs/>
          <w:sz w:val="20"/>
          <w:szCs w:val="20"/>
        </w:rPr>
      </w:pPr>
    </w:p>
    <w:p w:rsidR="0009312B" w:rsidRPr="00FB5D69" w:rsidRDefault="0009312B" w:rsidP="00FF60AC">
      <w:pPr>
        <w:pStyle w:val="Default"/>
        <w:jc w:val="both"/>
        <w:rPr>
          <w:b/>
          <w:bCs/>
          <w:sz w:val="20"/>
          <w:szCs w:val="20"/>
        </w:rPr>
      </w:pPr>
    </w:p>
    <w:p w:rsidR="00663997" w:rsidRPr="00FB5D69" w:rsidRDefault="00427040" w:rsidP="00FF60AC">
      <w:pPr>
        <w:pStyle w:val="Default"/>
        <w:jc w:val="both"/>
        <w:rPr>
          <w:b/>
          <w:bCs/>
          <w:sz w:val="20"/>
          <w:szCs w:val="20"/>
        </w:rPr>
      </w:pPr>
      <w:r>
        <w:rPr>
          <w:b/>
          <w:bCs/>
          <w:sz w:val="20"/>
          <w:szCs w:val="20"/>
        </w:rPr>
        <w:t xml:space="preserve">3.5 </w:t>
      </w:r>
      <w:r w:rsidR="00663997" w:rsidRPr="00FB5D69">
        <w:rPr>
          <w:b/>
          <w:bCs/>
          <w:sz w:val="20"/>
          <w:szCs w:val="20"/>
        </w:rPr>
        <w:t xml:space="preserve">Preoperative </w:t>
      </w:r>
      <w:r w:rsidRPr="00FB5D69">
        <w:rPr>
          <w:b/>
          <w:bCs/>
          <w:sz w:val="20"/>
          <w:szCs w:val="20"/>
        </w:rPr>
        <w:t xml:space="preserve">Fasting Associated Discomforts </w:t>
      </w:r>
    </w:p>
    <w:p w:rsidR="00663997" w:rsidRPr="00FB5D69" w:rsidRDefault="00663997" w:rsidP="00FF60AC">
      <w:pPr>
        <w:pStyle w:val="Default"/>
        <w:jc w:val="both"/>
        <w:rPr>
          <w:sz w:val="20"/>
          <w:szCs w:val="20"/>
        </w:rPr>
      </w:pPr>
      <w:r w:rsidRPr="00FB5D69">
        <w:rPr>
          <w:sz w:val="20"/>
          <w:szCs w:val="20"/>
        </w:rPr>
        <w:t>In general, there was a discomfort with an equal magnitude between the two comparison groups. In both groups of the study about 43.4% of participants had a discomforts that ranged between mild and moderate grades</w:t>
      </w:r>
      <w:r w:rsidRPr="00FB5D69">
        <w:rPr>
          <w:b/>
          <w:bCs/>
          <w:sz w:val="20"/>
          <w:szCs w:val="20"/>
        </w:rPr>
        <w:t xml:space="preserve">. </w:t>
      </w:r>
      <w:r w:rsidRPr="00FB5D69">
        <w:rPr>
          <w:sz w:val="20"/>
          <w:szCs w:val="20"/>
        </w:rPr>
        <w:t xml:space="preserve">Majority of the participants 87% had mild grade discomforts and only 13% had moderate level of discomforts preoperatively. </w:t>
      </w:r>
    </w:p>
    <w:p w:rsidR="00663997" w:rsidRPr="00FB5D69" w:rsidRDefault="00663997" w:rsidP="00FF60AC">
      <w:pPr>
        <w:pStyle w:val="Default"/>
        <w:jc w:val="both"/>
        <w:rPr>
          <w:sz w:val="20"/>
          <w:szCs w:val="20"/>
        </w:rPr>
      </w:pPr>
      <w:r w:rsidRPr="00FB5D69">
        <w:rPr>
          <w:noProof/>
          <w:sz w:val="20"/>
          <w:szCs w:val="20"/>
        </w:rPr>
        <w:drawing>
          <wp:inline distT="0" distB="0" distL="0" distR="0">
            <wp:extent cx="5943600" cy="199612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996125"/>
                    </a:xfrm>
                    <a:prstGeom prst="rect">
                      <a:avLst/>
                    </a:prstGeom>
                    <a:noFill/>
                    <a:ln>
                      <a:noFill/>
                    </a:ln>
                  </pic:spPr>
                </pic:pic>
              </a:graphicData>
            </a:graphic>
          </wp:inline>
        </w:drawing>
      </w:r>
    </w:p>
    <w:p w:rsidR="00BF041C" w:rsidRDefault="00427040" w:rsidP="00FF60AC">
      <w:pPr>
        <w:pStyle w:val="Default"/>
        <w:jc w:val="both"/>
        <w:rPr>
          <w:b/>
          <w:bCs/>
          <w:sz w:val="20"/>
          <w:szCs w:val="20"/>
        </w:rPr>
      </w:pPr>
      <w:r>
        <w:rPr>
          <w:b/>
          <w:bCs/>
          <w:sz w:val="20"/>
          <w:szCs w:val="20"/>
        </w:rPr>
        <w:t xml:space="preserve">Figure 1. </w:t>
      </w:r>
      <w:r w:rsidRPr="00FB5D69">
        <w:rPr>
          <w:b/>
          <w:bCs/>
          <w:sz w:val="20"/>
          <w:szCs w:val="20"/>
        </w:rPr>
        <w:t>Preoperative Fasting Associated Discomforts</w:t>
      </w:r>
    </w:p>
    <w:p w:rsidR="00427040" w:rsidRDefault="00427040" w:rsidP="00FF60AC">
      <w:pPr>
        <w:pStyle w:val="Default"/>
        <w:jc w:val="both"/>
        <w:rPr>
          <w:b/>
          <w:bCs/>
          <w:sz w:val="20"/>
          <w:szCs w:val="20"/>
        </w:rPr>
      </w:pPr>
    </w:p>
    <w:p w:rsidR="00427040" w:rsidRPr="00FB5D69" w:rsidRDefault="00427040" w:rsidP="00FF60AC">
      <w:pPr>
        <w:pStyle w:val="Default"/>
        <w:jc w:val="both"/>
        <w:rPr>
          <w:b/>
          <w:bCs/>
          <w:sz w:val="20"/>
          <w:szCs w:val="20"/>
        </w:rPr>
      </w:pPr>
    </w:p>
    <w:p w:rsidR="00663997" w:rsidRPr="00FB5D69" w:rsidRDefault="00427040" w:rsidP="00FF60AC">
      <w:pPr>
        <w:pStyle w:val="Default"/>
        <w:jc w:val="both"/>
        <w:rPr>
          <w:b/>
          <w:bCs/>
          <w:sz w:val="20"/>
          <w:szCs w:val="20"/>
        </w:rPr>
      </w:pPr>
      <w:r>
        <w:rPr>
          <w:b/>
          <w:bCs/>
          <w:sz w:val="20"/>
          <w:szCs w:val="20"/>
        </w:rPr>
        <w:t xml:space="preserve">3.6 </w:t>
      </w:r>
      <w:r w:rsidR="00663997" w:rsidRPr="00FB5D69">
        <w:rPr>
          <w:b/>
          <w:bCs/>
          <w:sz w:val="20"/>
          <w:szCs w:val="20"/>
        </w:rPr>
        <w:t xml:space="preserve">Postoperative </w:t>
      </w:r>
      <w:r w:rsidRPr="00FB5D69">
        <w:rPr>
          <w:b/>
          <w:bCs/>
          <w:sz w:val="20"/>
          <w:szCs w:val="20"/>
        </w:rPr>
        <w:t xml:space="preserve">Fasting Associated Discomforts </w:t>
      </w:r>
    </w:p>
    <w:p w:rsidR="00663997" w:rsidRPr="00FB5D69" w:rsidRDefault="00663997" w:rsidP="00FF60AC">
      <w:pPr>
        <w:pStyle w:val="Default"/>
        <w:jc w:val="both"/>
        <w:rPr>
          <w:sz w:val="20"/>
          <w:szCs w:val="20"/>
        </w:rPr>
      </w:pPr>
      <w:r w:rsidRPr="00FB5D69">
        <w:rPr>
          <w:sz w:val="20"/>
          <w:szCs w:val="20"/>
        </w:rPr>
        <w:t xml:space="preserve">The level of postoperative discomforts was higher compared to preoperative discomforts. Majority of the participants (70.8%) had mild to moderate levels of discomforts. However, majority of the participants 88% experienced mild-level discomforts. </w:t>
      </w:r>
    </w:p>
    <w:p w:rsidR="00EB1591" w:rsidRPr="00FB5D69" w:rsidRDefault="00EB1591" w:rsidP="00FF60AC">
      <w:pPr>
        <w:pStyle w:val="Default"/>
        <w:jc w:val="both"/>
        <w:rPr>
          <w:sz w:val="20"/>
          <w:szCs w:val="20"/>
        </w:rPr>
      </w:pPr>
    </w:p>
    <w:p w:rsidR="00663997" w:rsidRPr="00FB5D69" w:rsidRDefault="00663997" w:rsidP="00FF60AC">
      <w:pPr>
        <w:pStyle w:val="Default"/>
        <w:jc w:val="both"/>
        <w:rPr>
          <w:sz w:val="20"/>
          <w:szCs w:val="20"/>
        </w:rPr>
      </w:pPr>
      <w:r w:rsidRPr="00FB5D69">
        <w:rPr>
          <w:noProof/>
          <w:sz w:val="20"/>
          <w:szCs w:val="20"/>
        </w:rPr>
        <w:drawing>
          <wp:inline distT="0" distB="0" distL="0" distR="0">
            <wp:extent cx="5943600" cy="1918670"/>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918670"/>
                    </a:xfrm>
                    <a:prstGeom prst="rect">
                      <a:avLst/>
                    </a:prstGeom>
                    <a:noFill/>
                    <a:ln>
                      <a:noFill/>
                    </a:ln>
                  </pic:spPr>
                </pic:pic>
              </a:graphicData>
            </a:graphic>
          </wp:inline>
        </w:drawing>
      </w:r>
    </w:p>
    <w:p w:rsidR="00427040" w:rsidRPr="00427040" w:rsidRDefault="00427040" w:rsidP="00FF60AC">
      <w:pPr>
        <w:tabs>
          <w:tab w:val="left" w:pos="7200"/>
        </w:tabs>
        <w:jc w:val="both"/>
        <w:rPr>
          <w:rFonts w:ascii="Times New Roman" w:hAnsi="Times New Roman" w:cs="Times New Roman"/>
          <w:b/>
          <w:sz w:val="20"/>
          <w:szCs w:val="20"/>
        </w:rPr>
      </w:pPr>
      <w:r>
        <w:rPr>
          <w:rFonts w:ascii="Times New Roman" w:hAnsi="Times New Roman" w:cs="Times New Roman"/>
          <w:b/>
          <w:sz w:val="20"/>
          <w:szCs w:val="20"/>
        </w:rPr>
        <w:t xml:space="preserve">Figure 2. </w:t>
      </w:r>
      <w:r w:rsidRPr="00427040">
        <w:rPr>
          <w:rFonts w:ascii="Times New Roman" w:hAnsi="Times New Roman" w:cs="Times New Roman"/>
          <w:b/>
          <w:bCs/>
          <w:sz w:val="20"/>
          <w:szCs w:val="20"/>
        </w:rPr>
        <w:t>Postoperative Fasting Associated Discomforts</w:t>
      </w:r>
    </w:p>
    <w:p w:rsidR="00663997" w:rsidRPr="00FB5D69" w:rsidRDefault="00663997" w:rsidP="00FF60AC">
      <w:pPr>
        <w:tabs>
          <w:tab w:val="left" w:pos="7200"/>
        </w:tabs>
        <w:jc w:val="both"/>
        <w:rPr>
          <w:sz w:val="20"/>
          <w:szCs w:val="20"/>
        </w:rPr>
      </w:pPr>
      <w:r w:rsidRPr="00FB5D69">
        <w:rPr>
          <w:sz w:val="20"/>
          <w:szCs w:val="20"/>
        </w:rPr>
        <w:tab/>
      </w:r>
    </w:p>
    <w:p w:rsidR="00663997" w:rsidRPr="00FB5D69" w:rsidRDefault="00427040" w:rsidP="00FF60AC">
      <w:pPr>
        <w:pStyle w:val="Default"/>
        <w:jc w:val="both"/>
        <w:rPr>
          <w:b/>
          <w:bCs/>
          <w:sz w:val="20"/>
          <w:szCs w:val="20"/>
        </w:rPr>
      </w:pPr>
      <w:r>
        <w:rPr>
          <w:b/>
          <w:bCs/>
          <w:sz w:val="20"/>
          <w:szCs w:val="20"/>
        </w:rPr>
        <w:t xml:space="preserve">3.7 </w:t>
      </w:r>
      <w:r w:rsidR="00663997" w:rsidRPr="00FB5D69">
        <w:rPr>
          <w:b/>
          <w:bCs/>
          <w:sz w:val="20"/>
          <w:szCs w:val="20"/>
        </w:rPr>
        <w:t>Difference in Associated Discomforts be</w:t>
      </w:r>
      <w:r>
        <w:rPr>
          <w:b/>
          <w:bCs/>
          <w:sz w:val="20"/>
          <w:szCs w:val="20"/>
        </w:rPr>
        <w:t>tween Traditional and Standard F</w:t>
      </w:r>
      <w:r w:rsidR="00663997" w:rsidRPr="00FB5D69">
        <w:rPr>
          <w:b/>
          <w:bCs/>
          <w:sz w:val="20"/>
          <w:szCs w:val="20"/>
        </w:rPr>
        <w:t>asting</w:t>
      </w:r>
      <w:r w:rsidR="0009312B" w:rsidRPr="00FB5D69">
        <w:rPr>
          <w:b/>
          <w:bCs/>
          <w:sz w:val="20"/>
          <w:szCs w:val="20"/>
        </w:rPr>
        <w:t xml:space="preserve"> </w:t>
      </w:r>
      <w:r>
        <w:rPr>
          <w:b/>
          <w:bCs/>
          <w:sz w:val="20"/>
          <w:szCs w:val="20"/>
        </w:rPr>
        <w:t>G</w:t>
      </w:r>
      <w:r w:rsidR="0009312B" w:rsidRPr="00FB5D69">
        <w:rPr>
          <w:b/>
          <w:bCs/>
          <w:sz w:val="20"/>
          <w:szCs w:val="20"/>
        </w:rPr>
        <w:t>roups</w:t>
      </w:r>
      <w:r w:rsidR="00663997" w:rsidRPr="00FB5D69">
        <w:rPr>
          <w:b/>
          <w:bCs/>
          <w:sz w:val="20"/>
          <w:szCs w:val="20"/>
        </w:rPr>
        <w:t xml:space="preserve"> </w:t>
      </w:r>
    </w:p>
    <w:p w:rsidR="00663997" w:rsidRPr="00FB5D69" w:rsidRDefault="003E06D7" w:rsidP="00FF60AC">
      <w:pPr>
        <w:tabs>
          <w:tab w:val="left" w:pos="7200"/>
        </w:tabs>
        <w:jc w:val="both"/>
        <w:rPr>
          <w:rFonts w:ascii="Times New Roman" w:hAnsi="Times New Roman" w:cs="Times New Roman"/>
          <w:sz w:val="20"/>
          <w:szCs w:val="20"/>
        </w:rPr>
      </w:pPr>
      <w:r>
        <w:rPr>
          <w:rFonts w:ascii="Times New Roman" w:hAnsi="Times New Roman" w:cs="Times New Roman"/>
          <w:sz w:val="20"/>
          <w:szCs w:val="20"/>
        </w:rPr>
        <w:lastRenderedPageBreak/>
        <w:t>The level of discomfort</w:t>
      </w:r>
      <w:r w:rsidR="00663997" w:rsidRPr="00FB5D69">
        <w:rPr>
          <w:rFonts w:ascii="Times New Roman" w:hAnsi="Times New Roman" w:cs="Times New Roman"/>
          <w:sz w:val="20"/>
          <w:szCs w:val="20"/>
        </w:rPr>
        <w:t xml:space="preserve"> was observed separately as preoperative, postoperative and overall. Preoperative discomfort was not significantly different between traditional (Mean=2.59, SD±1.7) and standard approaches (Mean=3.56, SD±2.1) (</w:t>
      </w:r>
      <w:r w:rsidR="00663997" w:rsidRPr="00FB5D69">
        <w:rPr>
          <w:rFonts w:ascii="Times New Roman" w:hAnsi="Times New Roman" w:cs="Times New Roman"/>
          <w:i/>
          <w:iCs/>
          <w:sz w:val="20"/>
          <w:szCs w:val="20"/>
        </w:rPr>
        <w:t>p</w:t>
      </w:r>
      <w:r w:rsidR="00663997" w:rsidRPr="00FB5D69">
        <w:rPr>
          <w:rFonts w:ascii="Times New Roman" w:hAnsi="Times New Roman" w:cs="Times New Roman"/>
          <w:sz w:val="20"/>
          <w:szCs w:val="20"/>
        </w:rPr>
        <w:t>=0.269). Similarly, the postoperative mean (SD) difference between the traditional (Mean=6.20, SD±3.6) and standard (Mean=6.33, SD±2.8) were found to be non-significant (</w:t>
      </w:r>
      <w:r w:rsidR="00663997" w:rsidRPr="00FB5D69">
        <w:rPr>
          <w:rFonts w:ascii="Times New Roman" w:hAnsi="Times New Roman" w:cs="Times New Roman"/>
          <w:i/>
          <w:iCs/>
          <w:sz w:val="20"/>
          <w:szCs w:val="20"/>
        </w:rPr>
        <w:t>p</w:t>
      </w:r>
      <w:r w:rsidR="00663997" w:rsidRPr="00FB5D69">
        <w:rPr>
          <w:rFonts w:ascii="Times New Roman" w:hAnsi="Times New Roman" w:cs="Times New Roman"/>
          <w:sz w:val="20"/>
          <w:szCs w:val="20"/>
        </w:rPr>
        <w:t>=0.914). In overall discomfort, the mean (SD) difference between traditional (Mean=8.80, SD±4.2) and standard (Mean=9.88, SD±4.3) practice was not significance (</w:t>
      </w:r>
      <w:r w:rsidR="00663997" w:rsidRPr="00FB5D69">
        <w:rPr>
          <w:rFonts w:ascii="Times New Roman" w:hAnsi="Times New Roman" w:cs="Times New Roman"/>
          <w:i/>
          <w:iCs/>
          <w:sz w:val="20"/>
          <w:szCs w:val="20"/>
        </w:rPr>
        <w:t>p</w:t>
      </w:r>
      <w:r w:rsidR="00663997" w:rsidRPr="00FB5D69">
        <w:rPr>
          <w:rFonts w:ascii="Times New Roman" w:hAnsi="Times New Roman" w:cs="Times New Roman"/>
          <w:sz w:val="20"/>
          <w:szCs w:val="20"/>
        </w:rPr>
        <w:t>=0.516). There is no significant difference in the level of discomforts between the traditional and standard groups.</w:t>
      </w:r>
    </w:p>
    <w:p w:rsidR="00663997" w:rsidRPr="00427040" w:rsidRDefault="00663997" w:rsidP="00FF60AC">
      <w:pPr>
        <w:tabs>
          <w:tab w:val="left" w:pos="7200"/>
        </w:tabs>
        <w:jc w:val="both"/>
        <w:rPr>
          <w:rFonts w:ascii="Times New Roman" w:hAnsi="Times New Roman" w:cs="Times New Roman"/>
          <w:b/>
          <w:sz w:val="20"/>
          <w:szCs w:val="20"/>
        </w:rPr>
      </w:pPr>
      <w:r w:rsidRPr="00427040">
        <w:rPr>
          <w:rFonts w:ascii="Times New Roman" w:hAnsi="Times New Roman" w:cs="Times New Roman"/>
          <w:b/>
          <w:sz w:val="20"/>
          <w:szCs w:val="20"/>
        </w:rPr>
        <w:t xml:space="preserve">Table. 6 </w:t>
      </w:r>
      <w:r w:rsidR="00427040">
        <w:rPr>
          <w:rFonts w:ascii="Times New Roman" w:hAnsi="Times New Roman" w:cs="Times New Roman"/>
          <w:b/>
          <w:sz w:val="20"/>
          <w:szCs w:val="20"/>
        </w:rPr>
        <w:t>Difference in A</w:t>
      </w:r>
      <w:r w:rsidR="00EB1591" w:rsidRPr="00427040">
        <w:rPr>
          <w:rFonts w:ascii="Times New Roman" w:hAnsi="Times New Roman" w:cs="Times New Roman"/>
          <w:b/>
          <w:sz w:val="20"/>
          <w:szCs w:val="20"/>
        </w:rPr>
        <w:t xml:space="preserve">ssociated </w:t>
      </w:r>
      <w:r w:rsidR="00427040">
        <w:rPr>
          <w:rFonts w:ascii="Times New Roman" w:hAnsi="Times New Roman" w:cs="Times New Roman"/>
          <w:b/>
          <w:sz w:val="20"/>
          <w:szCs w:val="20"/>
        </w:rPr>
        <w:t>D</w:t>
      </w:r>
      <w:r w:rsidR="00EB1591" w:rsidRPr="00427040">
        <w:rPr>
          <w:rFonts w:ascii="Times New Roman" w:hAnsi="Times New Roman" w:cs="Times New Roman"/>
          <w:b/>
          <w:sz w:val="20"/>
          <w:szCs w:val="20"/>
        </w:rPr>
        <w:t>i</w:t>
      </w:r>
      <w:r w:rsidR="00427040">
        <w:rPr>
          <w:rFonts w:ascii="Times New Roman" w:hAnsi="Times New Roman" w:cs="Times New Roman"/>
          <w:b/>
          <w:sz w:val="20"/>
          <w:szCs w:val="20"/>
        </w:rPr>
        <w:t>scomforts between Traditional and Standard Fasting Groups</w:t>
      </w:r>
    </w:p>
    <w:tbl>
      <w:tblPr>
        <w:tblW w:w="5882" w:type="dxa"/>
        <w:tblInd w:w="180" w:type="dxa"/>
        <w:tblLook w:val="04A0" w:firstRow="1" w:lastRow="0" w:firstColumn="1" w:lastColumn="0" w:noHBand="0" w:noVBand="1"/>
      </w:tblPr>
      <w:tblGrid>
        <w:gridCol w:w="1360"/>
        <w:gridCol w:w="1340"/>
        <w:gridCol w:w="1182"/>
        <w:gridCol w:w="960"/>
        <w:gridCol w:w="1040"/>
      </w:tblGrid>
      <w:tr w:rsidR="00663997" w:rsidRPr="00FB5D69" w:rsidTr="00BF041C">
        <w:trPr>
          <w:trHeight w:val="300"/>
        </w:trPr>
        <w:tc>
          <w:tcPr>
            <w:tcW w:w="2700" w:type="dxa"/>
            <w:gridSpan w:val="2"/>
            <w:tcBorders>
              <w:top w:val="single" w:sz="4" w:space="0" w:color="auto"/>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Variable</w:t>
            </w:r>
          </w:p>
        </w:tc>
        <w:tc>
          <w:tcPr>
            <w:tcW w:w="1182" w:type="dxa"/>
            <w:tcBorders>
              <w:top w:val="single" w:sz="4" w:space="0" w:color="auto"/>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Mean(SD)</w:t>
            </w:r>
          </w:p>
        </w:tc>
        <w:tc>
          <w:tcPr>
            <w:tcW w:w="960" w:type="dxa"/>
            <w:tcBorders>
              <w:top w:val="single" w:sz="4" w:space="0" w:color="auto"/>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 xml:space="preserve">Diff. </w:t>
            </w:r>
          </w:p>
        </w:tc>
        <w:tc>
          <w:tcPr>
            <w:tcW w:w="1040" w:type="dxa"/>
            <w:tcBorders>
              <w:top w:val="single" w:sz="4" w:space="0" w:color="auto"/>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 xml:space="preserve">  </w:t>
            </w:r>
            <w:r w:rsidRPr="00FB5D69">
              <w:rPr>
                <w:rFonts w:ascii="Times New Roman" w:eastAsia="Times New Roman" w:hAnsi="Times New Roman" w:cs="Times New Roman"/>
                <w:b/>
                <w:bCs/>
                <w:i/>
                <w:color w:val="000000"/>
                <w:sz w:val="20"/>
                <w:szCs w:val="20"/>
              </w:rPr>
              <w:t>p</w:t>
            </w:r>
            <w:r w:rsidRPr="00FB5D69">
              <w:rPr>
                <w:rFonts w:ascii="Times New Roman" w:eastAsia="Times New Roman" w:hAnsi="Times New Roman" w:cs="Times New Roman"/>
                <w:b/>
                <w:bCs/>
                <w:color w:val="000000"/>
                <w:sz w:val="20"/>
                <w:szCs w:val="20"/>
              </w:rPr>
              <w:t>-value</w:t>
            </w:r>
          </w:p>
        </w:tc>
      </w:tr>
      <w:tr w:rsidR="00663997" w:rsidRPr="00FB5D69" w:rsidTr="00BF041C">
        <w:trPr>
          <w:trHeight w:val="300"/>
        </w:trPr>
        <w:tc>
          <w:tcPr>
            <w:tcW w:w="3882" w:type="dxa"/>
            <w:gridSpan w:val="3"/>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Preoperative discomfort</w:t>
            </w:r>
          </w:p>
        </w:tc>
        <w:tc>
          <w:tcPr>
            <w:tcW w:w="9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0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13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Traditional</w:t>
            </w:r>
          </w:p>
        </w:tc>
        <w:tc>
          <w:tcPr>
            <w:tcW w:w="1182"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2.59 (1.7)</w:t>
            </w:r>
          </w:p>
        </w:tc>
        <w:tc>
          <w:tcPr>
            <w:tcW w:w="9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0.965</w:t>
            </w:r>
          </w:p>
        </w:tc>
        <w:tc>
          <w:tcPr>
            <w:tcW w:w="10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0.269</w:t>
            </w:r>
          </w:p>
        </w:tc>
      </w:tr>
      <w:tr w:rsidR="00663997" w:rsidRPr="00FB5D69" w:rsidTr="00BF041C">
        <w:trPr>
          <w:trHeight w:val="300"/>
        </w:trPr>
        <w:tc>
          <w:tcPr>
            <w:tcW w:w="13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3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Standard</w:t>
            </w:r>
          </w:p>
        </w:tc>
        <w:tc>
          <w:tcPr>
            <w:tcW w:w="1182"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3.56 (2.1)</w:t>
            </w:r>
          </w:p>
        </w:tc>
        <w:tc>
          <w:tcPr>
            <w:tcW w:w="9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0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3882" w:type="dxa"/>
            <w:gridSpan w:val="3"/>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Postoperative discomfort</w:t>
            </w:r>
          </w:p>
        </w:tc>
        <w:tc>
          <w:tcPr>
            <w:tcW w:w="9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0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13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Traditional</w:t>
            </w:r>
          </w:p>
        </w:tc>
        <w:tc>
          <w:tcPr>
            <w:tcW w:w="1182"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6.20 (3.6)</w:t>
            </w:r>
          </w:p>
        </w:tc>
        <w:tc>
          <w:tcPr>
            <w:tcW w:w="9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0.123</w:t>
            </w:r>
          </w:p>
        </w:tc>
        <w:tc>
          <w:tcPr>
            <w:tcW w:w="10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0.914</w:t>
            </w:r>
          </w:p>
        </w:tc>
      </w:tr>
      <w:tr w:rsidR="00663997" w:rsidRPr="00FB5D69" w:rsidTr="00BF041C">
        <w:trPr>
          <w:trHeight w:val="300"/>
        </w:trPr>
        <w:tc>
          <w:tcPr>
            <w:tcW w:w="13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3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Standard</w:t>
            </w:r>
          </w:p>
        </w:tc>
        <w:tc>
          <w:tcPr>
            <w:tcW w:w="1182"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6.33(2.8)</w:t>
            </w:r>
          </w:p>
        </w:tc>
        <w:tc>
          <w:tcPr>
            <w:tcW w:w="9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0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3882" w:type="dxa"/>
            <w:gridSpan w:val="3"/>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Overall discomfort</w:t>
            </w:r>
          </w:p>
        </w:tc>
        <w:tc>
          <w:tcPr>
            <w:tcW w:w="9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0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r>
      <w:tr w:rsidR="00663997" w:rsidRPr="00FB5D69" w:rsidTr="00BF041C">
        <w:trPr>
          <w:trHeight w:val="300"/>
        </w:trPr>
        <w:tc>
          <w:tcPr>
            <w:tcW w:w="13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Traditional</w:t>
            </w:r>
          </w:p>
        </w:tc>
        <w:tc>
          <w:tcPr>
            <w:tcW w:w="1182"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8.80(4.2)</w:t>
            </w:r>
          </w:p>
        </w:tc>
        <w:tc>
          <w:tcPr>
            <w:tcW w:w="96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1.088</w:t>
            </w:r>
          </w:p>
        </w:tc>
        <w:tc>
          <w:tcPr>
            <w:tcW w:w="1040" w:type="dxa"/>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0.506</w:t>
            </w:r>
          </w:p>
        </w:tc>
      </w:tr>
      <w:tr w:rsidR="00663997" w:rsidRPr="00FB5D69" w:rsidTr="00BF041C">
        <w:trPr>
          <w:trHeight w:val="300"/>
        </w:trPr>
        <w:tc>
          <w:tcPr>
            <w:tcW w:w="1360"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w:t>
            </w:r>
          </w:p>
        </w:tc>
        <w:tc>
          <w:tcPr>
            <w:tcW w:w="1340"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Standard</w:t>
            </w:r>
          </w:p>
        </w:tc>
        <w:tc>
          <w:tcPr>
            <w:tcW w:w="1182"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9.88 (4.3)</w:t>
            </w:r>
          </w:p>
        </w:tc>
        <w:tc>
          <w:tcPr>
            <w:tcW w:w="960"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1040" w:type="dxa"/>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r>
    </w:tbl>
    <w:p w:rsidR="00663997" w:rsidRPr="00FB5D69" w:rsidRDefault="00663997" w:rsidP="00FF60AC">
      <w:pPr>
        <w:tabs>
          <w:tab w:val="left" w:pos="7200"/>
        </w:tabs>
        <w:jc w:val="both"/>
        <w:rPr>
          <w:rFonts w:ascii="Times New Roman" w:hAnsi="Times New Roman" w:cs="Times New Roman"/>
          <w:sz w:val="20"/>
          <w:szCs w:val="20"/>
        </w:rPr>
      </w:pPr>
    </w:p>
    <w:p w:rsidR="00663997" w:rsidRPr="00FB5D69" w:rsidRDefault="00427040" w:rsidP="00FF60AC">
      <w:pPr>
        <w:pStyle w:val="Default"/>
        <w:jc w:val="both"/>
        <w:rPr>
          <w:b/>
          <w:bCs/>
          <w:sz w:val="20"/>
          <w:szCs w:val="20"/>
        </w:rPr>
      </w:pPr>
      <w:r>
        <w:rPr>
          <w:b/>
          <w:bCs/>
          <w:sz w:val="20"/>
          <w:szCs w:val="20"/>
        </w:rPr>
        <w:t xml:space="preserve">3.8 </w:t>
      </w:r>
      <w:r w:rsidR="00663997" w:rsidRPr="00FB5D69">
        <w:rPr>
          <w:b/>
          <w:bCs/>
          <w:sz w:val="20"/>
          <w:szCs w:val="20"/>
        </w:rPr>
        <w:t>The Effect of Pr</w:t>
      </w:r>
      <w:r>
        <w:rPr>
          <w:b/>
          <w:bCs/>
          <w:sz w:val="20"/>
          <w:szCs w:val="20"/>
        </w:rPr>
        <w:t>olonged NPO on the independent A</w:t>
      </w:r>
      <w:r w:rsidR="00663997" w:rsidRPr="00FB5D69">
        <w:rPr>
          <w:b/>
          <w:bCs/>
          <w:sz w:val="20"/>
          <w:szCs w:val="20"/>
        </w:rPr>
        <w:t xml:space="preserve">ssociated Discomforts </w:t>
      </w:r>
    </w:p>
    <w:p w:rsidR="00BF041C" w:rsidRPr="00FB5D69" w:rsidRDefault="00BF041C" w:rsidP="00FF60AC">
      <w:pPr>
        <w:pStyle w:val="Default"/>
        <w:jc w:val="both"/>
        <w:rPr>
          <w:sz w:val="20"/>
          <w:szCs w:val="20"/>
        </w:rPr>
      </w:pPr>
    </w:p>
    <w:p w:rsidR="00663997" w:rsidRPr="00FB5D69" w:rsidRDefault="00663997" w:rsidP="00FF60AC">
      <w:pPr>
        <w:tabs>
          <w:tab w:val="left" w:pos="7200"/>
        </w:tabs>
        <w:jc w:val="both"/>
        <w:rPr>
          <w:rFonts w:ascii="Times New Roman" w:hAnsi="Times New Roman" w:cs="Times New Roman"/>
          <w:sz w:val="20"/>
          <w:szCs w:val="20"/>
        </w:rPr>
      </w:pPr>
      <w:r w:rsidRPr="00FB5D69">
        <w:rPr>
          <w:rFonts w:ascii="Times New Roman" w:hAnsi="Times New Roman" w:cs="Times New Roman"/>
          <w:sz w:val="20"/>
          <w:szCs w:val="20"/>
        </w:rPr>
        <w:t>The effect of prolonged fasting from food and drinks on the overall postoperative nausea, hunger, vomiting, thirst and dizziness in both groups of study is depicted in the table below. The odds ratio for post-operative vomiting after prolonged fasting from food was 2.07 (</w:t>
      </w:r>
      <w:r w:rsidRPr="00FB5D69">
        <w:rPr>
          <w:rFonts w:ascii="Times New Roman" w:hAnsi="Times New Roman" w:cs="Times New Roman"/>
          <w:i/>
          <w:iCs/>
          <w:sz w:val="20"/>
          <w:szCs w:val="20"/>
        </w:rPr>
        <w:t>p=</w:t>
      </w:r>
      <w:r w:rsidRPr="00FB5D69">
        <w:rPr>
          <w:rFonts w:ascii="Times New Roman" w:hAnsi="Times New Roman" w:cs="Times New Roman"/>
          <w:sz w:val="20"/>
          <w:szCs w:val="20"/>
        </w:rPr>
        <w:t>0.051). This shows that for unit increase in fasting time of food, the odds of vomiting increased by almost two (OR=2.07, 95% CI: 1.00-4.30).</w:t>
      </w:r>
    </w:p>
    <w:p w:rsidR="00EB1591" w:rsidRPr="00FB5D69" w:rsidRDefault="00663997" w:rsidP="00EB1591">
      <w:pPr>
        <w:pStyle w:val="Default"/>
        <w:jc w:val="both"/>
        <w:rPr>
          <w:b/>
          <w:bCs/>
          <w:sz w:val="20"/>
          <w:szCs w:val="20"/>
        </w:rPr>
      </w:pPr>
      <w:r w:rsidRPr="00FB5D69">
        <w:rPr>
          <w:b/>
          <w:sz w:val="20"/>
          <w:szCs w:val="20"/>
        </w:rPr>
        <w:t>Table.</w:t>
      </w:r>
      <w:r w:rsidRPr="00FB5D69">
        <w:rPr>
          <w:sz w:val="20"/>
          <w:szCs w:val="20"/>
        </w:rPr>
        <w:t xml:space="preserve"> </w:t>
      </w:r>
      <w:r w:rsidR="00EB1591" w:rsidRPr="00FB5D69">
        <w:rPr>
          <w:b/>
          <w:bCs/>
          <w:sz w:val="20"/>
          <w:szCs w:val="20"/>
        </w:rPr>
        <w:t>The Effect of Pr</w:t>
      </w:r>
      <w:r w:rsidR="00427040">
        <w:rPr>
          <w:b/>
          <w:bCs/>
          <w:sz w:val="20"/>
          <w:szCs w:val="20"/>
        </w:rPr>
        <w:t>olonged NPO on the independent A</w:t>
      </w:r>
      <w:r w:rsidR="00EB1591" w:rsidRPr="00FB5D69">
        <w:rPr>
          <w:b/>
          <w:bCs/>
          <w:sz w:val="20"/>
          <w:szCs w:val="20"/>
        </w:rPr>
        <w:t xml:space="preserve">ssociated Discomforts </w:t>
      </w:r>
    </w:p>
    <w:tbl>
      <w:tblPr>
        <w:tblW w:w="0" w:type="auto"/>
        <w:tblLook w:val="04A0" w:firstRow="1" w:lastRow="0" w:firstColumn="1" w:lastColumn="0" w:noHBand="0" w:noVBand="1"/>
      </w:tblPr>
      <w:tblGrid>
        <w:gridCol w:w="1933"/>
        <w:gridCol w:w="2045"/>
        <w:gridCol w:w="1566"/>
        <w:gridCol w:w="839"/>
      </w:tblGrid>
      <w:tr w:rsidR="00663997" w:rsidRPr="00FB5D69" w:rsidTr="00BF041C">
        <w:trPr>
          <w:trHeight w:val="300"/>
        </w:trPr>
        <w:tc>
          <w:tcPr>
            <w:tcW w:w="0" w:type="auto"/>
            <w:tcBorders>
              <w:top w:val="single" w:sz="4" w:space="0" w:color="auto"/>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Dependent Variable</w:t>
            </w:r>
          </w:p>
        </w:tc>
        <w:tc>
          <w:tcPr>
            <w:tcW w:w="0" w:type="auto"/>
            <w:tcBorders>
              <w:top w:val="single" w:sz="4" w:space="0" w:color="auto"/>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Independent variable</w:t>
            </w:r>
          </w:p>
        </w:tc>
        <w:tc>
          <w:tcPr>
            <w:tcW w:w="0" w:type="auto"/>
            <w:tcBorders>
              <w:top w:val="single" w:sz="4" w:space="0" w:color="auto"/>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color w:val="000000"/>
                <w:sz w:val="20"/>
                <w:szCs w:val="20"/>
              </w:rPr>
              <w:t>OR (95%CI)</w:t>
            </w:r>
          </w:p>
        </w:tc>
        <w:tc>
          <w:tcPr>
            <w:tcW w:w="0" w:type="auto"/>
            <w:tcBorders>
              <w:top w:val="single" w:sz="4" w:space="0" w:color="auto"/>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b/>
                <w:bCs/>
                <w:color w:val="000000"/>
                <w:sz w:val="20"/>
                <w:szCs w:val="20"/>
              </w:rPr>
            </w:pPr>
            <w:r w:rsidRPr="00FB5D69">
              <w:rPr>
                <w:rFonts w:ascii="Times New Roman" w:eastAsia="Times New Roman" w:hAnsi="Times New Roman" w:cs="Times New Roman"/>
                <w:b/>
                <w:bCs/>
                <w:i/>
                <w:color w:val="000000"/>
                <w:sz w:val="20"/>
                <w:szCs w:val="20"/>
              </w:rPr>
              <w:t>p</w:t>
            </w:r>
            <w:r w:rsidRPr="00FB5D69">
              <w:rPr>
                <w:rFonts w:ascii="Times New Roman" w:eastAsia="Times New Roman" w:hAnsi="Times New Roman" w:cs="Times New Roman"/>
                <w:b/>
                <w:bCs/>
                <w:color w:val="000000"/>
                <w:sz w:val="20"/>
                <w:szCs w:val="20"/>
              </w:rPr>
              <w:t>-value</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Nausea</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Fasting time (Food)</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0.97 (0.71-1.32)</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0.849</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Vomiting</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2.07 (1.00-4.30)</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0.051</w:t>
            </w:r>
            <w:r w:rsidRPr="00FB5D69">
              <w:rPr>
                <w:rFonts w:ascii="Times New Roman" w:eastAsia="Times New Roman" w:hAnsi="Times New Roman" w:cs="Times New Roman"/>
                <w:color w:val="000000"/>
                <w:sz w:val="20"/>
                <w:szCs w:val="20"/>
                <w:vertAlign w:val="superscript"/>
              </w:rPr>
              <w:t>ᵻ</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Hunger</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1.05 (0.91-1.20)</w:t>
            </w:r>
          </w:p>
        </w:tc>
        <w:tc>
          <w:tcPr>
            <w:tcW w:w="0" w:type="auto"/>
            <w:tcBorders>
              <w:top w:val="nil"/>
              <w:left w:val="nil"/>
              <w:bottom w:val="nil"/>
              <w:right w:val="nil"/>
            </w:tcBorders>
            <w:shd w:val="clear" w:color="auto" w:fill="auto"/>
            <w:noWrap/>
            <w:vAlign w:val="bottom"/>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0.467</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Thirst</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1.02 (0.88-1.17)</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0.766</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Dizziness</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1.40 (0.73-2.66)</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0.303</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Nausea</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Fasting time (Drink)</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1.12 (0.81-1.54)</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0.472</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Vomiting</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1.60 (0.91-2.80)</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0.099</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Hunger</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1.05 (0.93-1.19)</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0.359</w:t>
            </w:r>
          </w:p>
        </w:tc>
      </w:tr>
      <w:tr w:rsidR="00663997" w:rsidRPr="00FB5D69" w:rsidTr="00BF041C">
        <w:trPr>
          <w:trHeight w:val="300"/>
        </w:trPr>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Thirst</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0.98 (0.87-1.11)</w:t>
            </w:r>
          </w:p>
        </w:tc>
        <w:tc>
          <w:tcPr>
            <w:tcW w:w="0" w:type="auto"/>
            <w:tcBorders>
              <w:top w:val="nil"/>
              <w:left w:val="nil"/>
              <w:bottom w:val="nil"/>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sz w:val="20"/>
                <w:szCs w:val="20"/>
              </w:rPr>
            </w:pPr>
            <w:r w:rsidRPr="00FB5D69">
              <w:rPr>
                <w:rFonts w:ascii="Times New Roman" w:eastAsia="Times New Roman" w:hAnsi="Times New Roman" w:cs="Times New Roman"/>
                <w:sz w:val="20"/>
                <w:szCs w:val="20"/>
              </w:rPr>
              <w:t>0.837</w:t>
            </w:r>
          </w:p>
        </w:tc>
      </w:tr>
      <w:tr w:rsidR="00663997" w:rsidRPr="00FB5D69" w:rsidTr="00BF041C">
        <w:trPr>
          <w:trHeight w:val="300"/>
        </w:trPr>
        <w:tc>
          <w:tcPr>
            <w:tcW w:w="0" w:type="auto"/>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Dizziness</w:t>
            </w:r>
          </w:p>
        </w:tc>
        <w:tc>
          <w:tcPr>
            <w:tcW w:w="0" w:type="auto"/>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 1.79 (0.86-3.72)</w:t>
            </w:r>
          </w:p>
        </w:tc>
        <w:tc>
          <w:tcPr>
            <w:tcW w:w="0" w:type="auto"/>
            <w:tcBorders>
              <w:top w:val="nil"/>
              <w:left w:val="nil"/>
              <w:bottom w:val="single" w:sz="4" w:space="0" w:color="auto"/>
              <w:right w:val="nil"/>
            </w:tcBorders>
            <w:shd w:val="clear" w:color="auto" w:fill="auto"/>
            <w:noWrap/>
            <w:vAlign w:val="bottom"/>
            <w:hideMark/>
          </w:tcPr>
          <w:p w:rsidR="00663997" w:rsidRPr="00FB5D69" w:rsidRDefault="00663997" w:rsidP="00FF60AC">
            <w:pPr>
              <w:spacing w:after="0" w:line="240" w:lineRule="auto"/>
              <w:jc w:val="both"/>
              <w:rPr>
                <w:rFonts w:ascii="Times New Roman" w:eastAsia="Times New Roman" w:hAnsi="Times New Roman" w:cs="Times New Roman"/>
                <w:color w:val="000000"/>
                <w:sz w:val="20"/>
                <w:szCs w:val="20"/>
              </w:rPr>
            </w:pPr>
            <w:r w:rsidRPr="00FB5D69">
              <w:rPr>
                <w:rFonts w:ascii="Times New Roman" w:eastAsia="Times New Roman" w:hAnsi="Times New Roman" w:cs="Times New Roman"/>
                <w:color w:val="000000"/>
                <w:sz w:val="20"/>
                <w:szCs w:val="20"/>
              </w:rPr>
              <w:t>0.117 </w:t>
            </w:r>
          </w:p>
        </w:tc>
      </w:tr>
    </w:tbl>
    <w:p w:rsidR="00D360F9" w:rsidRPr="00FB5D69" w:rsidRDefault="00D360F9" w:rsidP="00FF60AC">
      <w:pPr>
        <w:jc w:val="both"/>
        <w:rPr>
          <w:rFonts w:ascii="Times New Roman" w:hAnsi="Times New Roman" w:cs="Times New Roman"/>
          <w:b/>
          <w:sz w:val="20"/>
          <w:szCs w:val="20"/>
        </w:rPr>
      </w:pPr>
      <w:r w:rsidRPr="00FB5D69">
        <w:rPr>
          <w:rFonts w:ascii="Calibri" w:eastAsia="Times New Roman" w:hAnsi="Calibri" w:cs="Calibri"/>
          <w:color w:val="000000"/>
          <w:sz w:val="20"/>
          <w:szCs w:val="20"/>
          <w:vertAlign w:val="superscript"/>
        </w:rPr>
        <w:t xml:space="preserve">ᵻ </w:t>
      </w:r>
      <w:r w:rsidRPr="00FB5D69">
        <w:rPr>
          <w:rFonts w:ascii="Times New Roman" w:eastAsia="Times New Roman" w:hAnsi="Times New Roman" w:cs="Times New Roman"/>
          <w:color w:val="000000"/>
          <w:sz w:val="20"/>
          <w:szCs w:val="20"/>
        </w:rPr>
        <w:t xml:space="preserve">the odds ratio for hunger is at the border of the </w:t>
      </w:r>
      <w:r w:rsidRPr="00FB5D69">
        <w:rPr>
          <w:rFonts w:ascii="Times New Roman" w:eastAsia="Times New Roman" w:hAnsi="Times New Roman" w:cs="Times New Roman"/>
          <w:i/>
          <w:color w:val="000000"/>
          <w:sz w:val="20"/>
          <w:szCs w:val="20"/>
        </w:rPr>
        <w:t>p</w:t>
      </w:r>
      <w:r w:rsidRPr="00FB5D69">
        <w:rPr>
          <w:rFonts w:ascii="Times New Roman" w:eastAsia="Times New Roman" w:hAnsi="Times New Roman" w:cs="Times New Roman"/>
          <w:color w:val="000000"/>
          <w:sz w:val="20"/>
          <w:szCs w:val="20"/>
        </w:rPr>
        <w:t xml:space="preserve"> value</w:t>
      </w:r>
      <w:r w:rsidRPr="00FB5D69">
        <w:rPr>
          <w:rFonts w:ascii="Calibri" w:eastAsia="Times New Roman" w:hAnsi="Calibri" w:cs="Calibri"/>
          <w:color w:val="000000"/>
          <w:sz w:val="20"/>
          <w:szCs w:val="20"/>
        </w:rPr>
        <w:t xml:space="preserve"> </w:t>
      </w:r>
    </w:p>
    <w:p w:rsidR="00BF041C" w:rsidRPr="00FB5D69" w:rsidRDefault="00427040" w:rsidP="00FF60AC">
      <w:pPr>
        <w:tabs>
          <w:tab w:val="left" w:pos="7200"/>
        </w:tabs>
        <w:jc w:val="both"/>
        <w:rPr>
          <w:rFonts w:ascii="Times New Roman" w:hAnsi="Times New Roman" w:cs="Times New Roman"/>
          <w:b/>
          <w:sz w:val="20"/>
          <w:szCs w:val="20"/>
        </w:rPr>
      </w:pPr>
      <w:r>
        <w:rPr>
          <w:rFonts w:ascii="Times New Roman" w:hAnsi="Times New Roman" w:cs="Times New Roman"/>
          <w:b/>
          <w:sz w:val="20"/>
          <w:szCs w:val="20"/>
        </w:rPr>
        <w:t xml:space="preserve">4. </w:t>
      </w:r>
      <w:r w:rsidR="0009312B" w:rsidRPr="00FB5D69">
        <w:rPr>
          <w:rFonts w:ascii="Times New Roman" w:hAnsi="Times New Roman" w:cs="Times New Roman"/>
          <w:b/>
          <w:sz w:val="20"/>
          <w:szCs w:val="20"/>
        </w:rPr>
        <w:t>Discussion</w:t>
      </w:r>
    </w:p>
    <w:p w:rsidR="0009312B" w:rsidRDefault="003E06D7" w:rsidP="00FF60AC">
      <w:pPr>
        <w:tabs>
          <w:tab w:val="left" w:pos="7200"/>
        </w:tabs>
        <w:jc w:val="both"/>
        <w:rPr>
          <w:rFonts w:ascii="Times New Roman" w:hAnsi="Times New Roman" w:cs="Times New Roman"/>
          <w:sz w:val="20"/>
          <w:szCs w:val="20"/>
        </w:rPr>
      </w:pPr>
      <w:r>
        <w:rPr>
          <w:rFonts w:ascii="Times New Roman" w:hAnsi="Times New Roman" w:cs="Times New Roman"/>
          <w:sz w:val="20"/>
          <w:szCs w:val="20"/>
        </w:rPr>
        <w:t>In this</w:t>
      </w:r>
      <w:r w:rsidR="00E94DC6" w:rsidRPr="00FB5D69">
        <w:rPr>
          <w:rFonts w:ascii="Times New Roman" w:hAnsi="Times New Roman" w:cs="Times New Roman"/>
          <w:sz w:val="20"/>
          <w:szCs w:val="20"/>
        </w:rPr>
        <w:t xml:space="preserve"> study, non-randomized clinical trials were conducted among 106 pregnant mothers attended in two separate hospitals from November 6 of 2017 to March 11 of 2018. The trials that compared the associated discomforts between traditional versus standard fasting times carried out in healthy pregnant mothers with </w:t>
      </w:r>
      <w:r>
        <w:rPr>
          <w:rFonts w:ascii="Times New Roman" w:hAnsi="Times New Roman" w:cs="Times New Roman"/>
          <w:sz w:val="20"/>
          <w:szCs w:val="20"/>
        </w:rPr>
        <w:t>physical status</w:t>
      </w:r>
      <w:r w:rsidR="00E94DC6" w:rsidRPr="00FB5D69">
        <w:rPr>
          <w:rFonts w:ascii="Times New Roman" w:hAnsi="Times New Roman" w:cs="Times New Roman"/>
          <w:sz w:val="20"/>
          <w:szCs w:val="20"/>
        </w:rPr>
        <w:t xml:space="preserve"> class I and II. </w:t>
      </w:r>
      <w:r w:rsidR="001C1265">
        <w:rPr>
          <w:rFonts w:ascii="Times New Roman" w:hAnsi="Times New Roman" w:cs="Times New Roman"/>
          <w:sz w:val="20"/>
          <w:szCs w:val="20"/>
        </w:rPr>
        <w:t>G</w:t>
      </w:r>
      <w:r w:rsidR="00E94DC6" w:rsidRPr="00FB5D69">
        <w:rPr>
          <w:rFonts w:ascii="Times New Roman" w:hAnsi="Times New Roman" w:cs="Times New Roman"/>
          <w:sz w:val="20"/>
          <w:szCs w:val="20"/>
        </w:rPr>
        <w:t>uidelines for fasting time of fluids/food based on the ASA Task</w:t>
      </w:r>
      <w:r>
        <w:rPr>
          <w:rFonts w:ascii="Times New Roman" w:hAnsi="Times New Roman" w:cs="Times New Roman"/>
          <w:sz w:val="20"/>
          <w:szCs w:val="20"/>
        </w:rPr>
        <w:t xml:space="preserve"> Force for obstetric mothers were</w:t>
      </w:r>
      <w:r w:rsidR="00E94DC6" w:rsidRPr="00FB5D69">
        <w:rPr>
          <w:rFonts w:ascii="Times New Roman" w:hAnsi="Times New Roman" w:cs="Times New Roman"/>
          <w:sz w:val="20"/>
          <w:szCs w:val="20"/>
        </w:rPr>
        <w:t xml:space="preserve"> </w:t>
      </w:r>
      <w:r>
        <w:rPr>
          <w:rFonts w:ascii="Times New Roman" w:hAnsi="Times New Roman" w:cs="Times New Roman"/>
          <w:sz w:val="20"/>
          <w:szCs w:val="20"/>
        </w:rPr>
        <w:t>presented</w:t>
      </w:r>
      <w:r w:rsidR="00E94DC6" w:rsidRPr="00FB5D69">
        <w:rPr>
          <w:rFonts w:ascii="Times New Roman" w:hAnsi="Times New Roman" w:cs="Times New Roman"/>
          <w:sz w:val="20"/>
          <w:szCs w:val="20"/>
        </w:rPr>
        <w:t xml:space="preserve"> to these mothers. There was almost an equal number of participants in the two groups of comparisons.</w:t>
      </w:r>
    </w:p>
    <w:p w:rsidR="006F7388" w:rsidRDefault="006F7388" w:rsidP="00FF60AC">
      <w:pPr>
        <w:tabs>
          <w:tab w:val="left" w:pos="7200"/>
        </w:tabs>
        <w:jc w:val="both"/>
        <w:rPr>
          <w:rFonts w:ascii="Times New Roman" w:hAnsi="Times New Roman" w:cs="Times New Roman"/>
          <w:sz w:val="20"/>
          <w:szCs w:val="20"/>
        </w:rPr>
      </w:pPr>
    </w:p>
    <w:p w:rsidR="006F7388" w:rsidRPr="006F7388" w:rsidRDefault="006F7388" w:rsidP="00FF60AC">
      <w:pPr>
        <w:tabs>
          <w:tab w:val="left" w:pos="7200"/>
        </w:tabs>
        <w:jc w:val="both"/>
        <w:rPr>
          <w:rFonts w:ascii="Times New Roman" w:hAnsi="Times New Roman" w:cs="Times New Roman"/>
          <w:sz w:val="20"/>
          <w:szCs w:val="20"/>
        </w:rPr>
      </w:pPr>
      <w:r>
        <w:rPr>
          <w:rFonts w:ascii="Times New Roman" w:hAnsi="Times New Roman" w:cs="Times New Roman"/>
          <w:sz w:val="20"/>
          <w:szCs w:val="20"/>
        </w:rPr>
        <w:t>T</w:t>
      </w:r>
      <w:r w:rsidRPr="006F7388">
        <w:rPr>
          <w:rFonts w:ascii="Times New Roman" w:hAnsi="Times New Roman" w:cs="Times New Roman"/>
          <w:sz w:val="20"/>
          <w:szCs w:val="20"/>
        </w:rPr>
        <w:t>he preoperative discomforts were similar in the groups that received instructions for shorter period</w:t>
      </w:r>
      <w:r w:rsidR="003E06D7">
        <w:rPr>
          <w:rFonts w:ascii="Times New Roman" w:hAnsi="Times New Roman" w:cs="Times New Roman"/>
          <w:sz w:val="20"/>
          <w:szCs w:val="20"/>
        </w:rPr>
        <w:t xml:space="preserve"> of fasting and those that did no</w:t>
      </w:r>
      <w:r w:rsidRPr="006F7388">
        <w:rPr>
          <w:rFonts w:ascii="Times New Roman" w:hAnsi="Times New Roman" w:cs="Times New Roman"/>
          <w:sz w:val="20"/>
          <w:szCs w:val="20"/>
        </w:rPr>
        <w:t>t. The result was statistically non-significant (</w:t>
      </w:r>
      <w:r w:rsidRPr="006F7388">
        <w:rPr>
          <w:rFonts w:ascii="Times New Roman" w:hAnsi="Times New Roman" w:cs="Times New Roman"/>
          <w:i/>
          <w:iCs/>
          <w:sz w:val="20"/>
          <w:szCs w:val="20"/>
        </w:rPr>
        <w:t>p</w:t>
      </w:r>
      <w:r w:rsidRPr="006F7388">
        <w:rPr>
          <w:rFonts w:ascii="Times New Roman" w:hAnsi="Times New Roman" w:cs="Times New Roman"/>
          <w:sz w:val="20"/>
          <w:szCs w:val="20"/>
        </w:rPr>
        <w:t xml:space="preserve">=0.269). However, this </w:t>
      </w:r>
      <w:r w:rsidR="003E06D7">
        <w:rPr>
          <w:rFonts w:ascii="Times New Roman" w:hAnsi="Times New Roman" w:cs="Times New Roman"/>
          <w:sz w:val="20"/>
          <w:szCs w:val="20"/>
        </w:rPr>
        <w:t>result may have occurred because</w:t>
      </w:r>
      <w:r w:rsidRPr="006F7388">
        <w:rPr>
          <w:rFonts w:ascii="Times New Roman" w:hAnsi="Times New Roman" w:cs="Times New Roman"/>
          <w:sz w:val="20"/>
          <w:szCs w:val="20"/>
        </w:rPr>
        <w:t xml:space="preserve"> the length of fasting time was almost similar in both groups of participants</w:t>
      </w:r>
      <w:r w:rsidR="00044BEE">
        <w:rPr>
          <w:rFonts w:ascii="Times New Roman" w:hAnsi="Times New Roman" w:cs="Times New Roman"/>
          <w:sz w:val="20"/>
          <w:szCs w:val="20"/>
        </w:rPr>
        <w:t>.</w:t>
      </w:r>
    </w:p>
    <w:p w:rsidR="00E94DC6" w:rsidRPr="00FB5D69" w:rsidRDefault="00E94DC6" w:rsidP="00FF60AC">
      <w:pPr>
        <w:pStyle w:val="Default"/>
        <w:jc w:val="both"/>
        <w:rPr>
          <w:color w:val="auto"/>
          <w:sz w:val="20"/>
          <w:szCs w:val="20"/>
        </w:rPr>
      </w:pPr>
    </w:p>
    <w:p w:rsidR="00E94DC6" w:rsidRPr="00FB5D69" w:rsidRDefault="003E06D7" w:rsidP="00FF60AC">
      <w:pPr>
        <w:pStyle w:val="Default"/>
        <w:jc w:val="both"/>
        <w:rPr>
          <w:sz w:val="20"/>
          <w:szCs w:val="20"/>
        </w:rPr>
      </w:pPr>
      <w:r>
        <w:rPr>
          <w:sz w:val="20"/>
          <w:szCs w:val="20"/>
        </w:rPr>
        <w:t>It was noted that t</w:t>
      </w:r>
      <w:r w:rsidR="00E94DC6" w:rsidRPr="00FB5D69">
        <w:rPr>
          <w:sz w:val="20"/>
          <w:szCs w:val="20"/>
        </w:rPr>
        <w:t>he moth</w:t>
      </w:r>
      <w:r w:rsidR="00753BEF">
        <w:rPr>
          <w:sz w:val="20"/>
          <w:szCs w:val="20"/>
        </w:rPr>
        <w:t>ers who received instructions did</w:t>
      </w:r>
      <w:r w:rsidR="00E94DC6" w:rsidRPr="00FB5D69">
        <w:rPr>
          <w:sz w:val="20"/>
          <w:szCs w:val="20"/>
        </w:rPr>
        <w:t xml:space="preserve"> not follow the</w:t>
      </w:r>
      <w:r w:rsidR="00753BEF">
        <w:rPr>
          <w:sz w:val="20"/>
          <w:szCs w:val="20"/>
        </w:rPr>
        <w:t>se</w:t>
      </w:r>
      <w:r w:rsidR="00E94DC6" w:rsidRPr="00FB5D69">
        <w:rPr>
          <w:sz w:val="20"/>
          <w:szCs w:val="20"/>
        </w:rPr>
        <w:t xml:space="preserve"> </w:t>
      </w:r>
      <w:r w:rsidR="00753BEF">
        <w:rPr>
          <w:sz w:val="20"/>
          <w:szCs w:val="20"/>
        </w:rPr>
        <w:t>instruction</w:t>
      </w:r>
      <w:r w:rsidR="00E94DC6" w:rsidRPr="00FB5D69">
        <w:rPr>
          <w:sz w:val="20"/>
          <w:szCs w:val="20"/>
        </w:rPr>
        <w:t xml:space="preserve">s given regarding the timing and types of drinks or meals. This </w:t>
      </w:r>
      <w:r w:rsidR="00753BEF">
        <w:rPr>
          <w:sz w:val="20"/>
          <w:szCs w:val="20"/>
        </w:rPr>
        <w:t>may</w:t>
      </w:r>
      <w:r w:rsidR="00E94DC6" w:rsidRPr="00FB5D69">
        <w:rPr>
          <w:sz w:val="20"/>
          <w:szCs w:val="20"/>
        </w:rPr>
        <w:t xml:space="preserve"> be accounted for by a number of factors, some of which were the habits and cultural impacts. In the traditional practice however, the lack of awareness </w:t>
      </w:r>
      <w:r w:rsidR="00753BEF">
        <w:rPr>
          <w:sz w:val="20"/>
          <w:szCs w:val="20"/>
        </w:rPr>
        <w:t>in addition to</w:t>
      </w:r>
      <w:r w:rsidR="00E94DC6" w:rsidRPr="00FB5D69">
        <w:rPr>
          <w:sz w:val="20"/>
          <w:szCs w:val="20"/>
        </w:rPr>
        <w:t xml:space="preserve"> cultural barriers </w:t>
      </w:r>
      <w:r w:rsidR="00753BEF">
        <w:rPr>
          <w:sz w:val="20"/>
          <w:szCs w:val="20"/>
        </w:rPr>
        <w:t>lead</w:t>
      </w:r>
      <w:r w:rsidR="00E94DC6" w:rsidRPr="00FB5D69">
        <w:rPr>
          <w:sz w:val="20"/>
          <w:szCs w:val="20"/>
        </w:rPr>
        <w:t xml:space="preserve"> them to fast for even longer hours. Some of the participants fasted for about 17 hours before surgery commenced. This is supported by Baril and Portman (2007), in which several possible reasons for excessive preoperative fasting were revealed which includes patients′ lack of knowledge regarding the rationale for preoperative fasting, rapidly changing surgical schedules, the absence of a formal fasting policy or staff members′ inadequate knowledge of the policy, general mistrust on the part of practitioners that patients will understand and comply with a fasting policy.</w:t>
      </w:r>
    </w:p>
    <w:p w:rsidR="00E94DC6" w:rsidRPr="00FB5D69" w:rsidRDefault="00E94DC6" w:rsidP="00FF60AC">
      <w:pPr>
        <w:pStyle w:val="Default"/>
        <w:jc w:val="both"/>
        <w:rPr>
          <w:sz w:val="20"/>
          <w:szCs w:val="20"/>
        </w:rPr>
      </w:pPr>
    </w:p>
    <w:p w:rsidR="00E94DC6" w:rsidRPr="00FB5D69" w:rsidRDefault="00E94DC6" w:rsidP="00FF60AC">
      <w:pPr>
        <w:pStyle w:val="Default"/>
        <w:jc w:val="both"/>
        <w:rPr>
          <w:sz w:val="20"/>
          <w:szCs w:val="20"/>
        </w:rPr>
      </w:pPr>
      <w:r w:rsidRPr="00FB5D69">
        <w:rPr>
          <w:sz w:val="20"/>
          <w:szCs w:val="20"/>
        </w:rPr>
        <w:t xml:space="preserve">The myth </w:t>
      </w:r>
      <w:r w:rsidR="00753BEF">
        <w:rPr>
          <w:sz w:val="20"/>
          <w:szCs w:val="20"/>
        </w:rPr>
        <w:t xml:space="preserve">that fasting time </w:t>
      </w:r>
      <w:r w:rsidRPr="00FB5D69">
        <w:rPr>
          <w:sz w:val="20"/>
          <w:szCs w:val="20"/>
        </w:rPr>
        <w:t>from midnight is the best way to reduce the risk of vomiting and pulmonary aspiration during anesthesia, was formerly due to the high rate of cesarean section done under general anesthesia. However, Obstetric anesthesia has improved greatly in recent years, resulting in dramatic fall in maternal morbidity and mortality. The most obvious change has been due to shift from general to regional anesthesia; currently ≥ 90% of cesarean section is performed under spinal anesthesia (Caroline de Costa, 2006).</w:t>
      </w:r>
    </w:p>
    <w:p w:rsidR="00E94DC6" w:rsidRPr="00FB5D69" w:rsidRDefault="00E94DC6" w:rsidP="00FF60AC">
      <w:pPr>
        <w:pStyle w:val="Default"/>
        <w:jc w:val="both"/>
        <w:rPr>
          <w:sz w:val="20"/>
          <w:szCs w:val="20"/>
        </w:rPr>
      </w:pPr>
    </w:p>
    <w:p w:rsidR="00E94DC6" w:rsidRPr="00FB5D69" w:rsidRDefault="00E94DC6" w:rsidP="00FF60AC">
      <w:pPr>
        <w:pStyle w:val="Default"/>
        <w:jc w:val="both"/>
        <w:rPr>
          <w:sz w:val="20"/>
          <w:szCs w:val="20"/>
        </w:rPr>
      </w:pPr>
      <w:r w:rsidRPr="00FB5D69">
        <w:rPr>
          <w:sz w:val="20"/>
          <w:szCs w:val="20"/>
        </w:rPr>
        <w:t xml:space="preserve">The associated discomforts </w:t>
      </w:r>
      <w:r w:rsidR="00753BEF">
        <w:rPr>
          <w:sz w:val="20"/>
          <w:szCs w:val="20"/>
        </w:rPr>
        <w:t xml:space="preserve">revealed from this study was </w:t>
      </w:r>
      <w:r w:rsidRPr="00FB5D69">
        <w:rPr>
          <w:sz w:val="20"/>
          <w:szCs w:val="20"/>
        </w:rPr>
        <w:t xml:space="preserve">equal </w:t>
      </w:r>
      <w:r w:rsidR="00753BEF">
        <w:rPr>
          <w:sz w:val="20"/>
          <w:szCs w:val="20"/>
        </w:rPr>
        <w:t>in</w:t>
      </w:r>
      <w:r w:rsidRPr="00FB5D69">
        <w:rPr>
          <w:sz w:val="20"/>
          <w:szCs w:val="20"/>
        </w:rPr>
        <w:t xml:space="preserve"> both groups. There was mild to moderate </w:t>
      </w:r>
      <w:r w:rsidR="00753BEF">
        <w:rPr>
          <w:sz w:val="20"/>
          <w:szCs w:val="20"/>
        </w:rPr>
        <w:t xml:space="preserve">degree of discomforts among both </w:t>
      </w:r>
      <w:r w:rsidRPr="00FB5D69">
        <w:rPr>
          <w:sz w:val="20"/>
          <w:szCs w:val="20"/>
        </w:rPr>
        <w:t>groups. Generally, discomforts were measured preoperatively, intra-operatively and postoperatively among the two groups of participants. The highest rate of preoperative discomfort was thirst 31.1% and hunger 28.3%. These results are supported by another study done in Kenya by Njorege et al., (2017) where the score for hunger was 36.9% and thirst 46.1%. Similarly, in the study done in the U</w:t>
      </w:r>
      <w:r w:rsidR="00753BEF">
        <w:rPr>
          <w:sz w:val="20"/>
          <w:szCs w:val="20"/>
        </w:rPr>
        <w:t>.</w:t>
      </w:r>
      <w:r w:rsidRPr="00FB5D69">
        <w:rPr>
          <w:sz w:val="20"/>
          <w:szCs w:val="20"/>
        </w:rPr>
        <w:t>S</w:t>
      </w:r>
      <w:r w:rsidR="00753BEF">
        <w:rPr>
          <w:sz w:val="20"/>
          <w:szCs w:val="20"/>
        </w:rPr>
        <w:t>.</w:t>
      </w:r>
      <w:r w:rsidRPr="00FB5D69">
        <w:rPr>
          <w:sz w:val="20"/>
          <w:szCs w:val="20"/>
        </w:rPr>
        <w:t xml:space="preserve">A by Crenshaw and Winslow (2006) moderate discomforts that range from 4 to 5 were documented. </w:t>
      </w:r>
    </w:p>
    <w:p w:rsidR="00E94DC6" w:rsidRPr="00FB5D69" w:rsidRDefault="00E94DC6" w:rsidP="00FF60AC">
      <w:pPr>
        <w:pStyle w:val="Default"/>
        <w:jc w:val="both"/>
        <w:rPr>
          <w:sz w:val="20"/>
          <w:szCs w:val="20"/>
        </w:rPr>
      </w:pPr>
    </w:p>
    <w:p w:rsidR="00E94DC6" w:rsidRPr="00FB5D69" w:rsidRDefault="00E94DC6" w:rsidP="00FF60AC">
      <w:pPr>
        <w:pStyle w:val="Default"/>
        <w:jc w:val="both"/>
        <w:rPr>
          <w:sz w:val="20"/>
          <w:szCs w:val="20"/>
        </w:rPr>
      </w:pPr>
      <w:r w:rsidRPr="00FB5D69">
        <w:rPr>
          <w:sz w:val="20"/>
          <w:szCs w:val="20"/>
        </w:rPr>
        <w:t>The overall discomforts in both groups of participants were from mild to moderate. However, postoperatively the degrees of discom</w:t>
      </w:r>
      <w:r w:rsidR="00044BEE">
        <w:rPr>
          <w:sz w:val="20"/>
          <w:szCs w:val="20"/>
        </w:rPr>
        <w:t>fort</w:t>
      </w:r>
      <w:r w:rsidR="00753BEF">
        <w:rPr>
          <w:sz w:val="20"/>
          <w:szCs w:val="20"/>
        </w:rPr>
        <w:t xml:space="preserve"> increased </w:t>
      </w:r>
      <w:r w:rsidRPr="00FB5D69">
        <w:rPr>
          <w:sz w:val="20"/>
          <w:szCs w:val="20"/>
        </w:rPr>
        <w:t>as the length of preoperative fasting</w:t>
      </w:r>
      <w:r w:rsidR="00044BEE">
        <w:rPr>
          <w:sz w:val="20"/>
          <w:szCs w:val="20"/>
        </w:rPr>
        <w:t xml:space="preserve"> was</w:t>
      </w:r>
      <w:r w:rsidRPr="00FB5D69">
        <w:rPr>
          <w:sz w:val="20"/>
          <w:szCs w:val="20"/>
        </w:rPr>
        <w:t xml:space="preserve"> prolonged, though </w:t>
      </w:r>
      <w:r w:rsidR="00753BEF">
        <w:rPr>
          <w:sz w:val="20"/>
          <w:szCs w:val="20"/>
        </w:rPr>
        <w:t xml:space="preserve">difference was not </w:t>
      </w:r>
      <w:r w:rsidRPr="00FB5D69">
        <w:rPr>
          <w:sz w:val="20"/>
          <w:szCs w:val="20"/>
        </w:rPr>
        <w:t>statistically significant. The participants showed increased feelings of nausea, vomiting and dizziness postoperatively. This study is sup</w:t>
      </w:r>
      <w:r w:rsidR="00753BEF">
        <w:rPr>
          <w:sz w:val="20"/>
          <w:szCs w:val="20"/>
        </w:rPr>
        <w:t xml:space="preserve">ported by the study </w:t>
      </w:r>
      <w:r w:rsidRPr="00FB5D69">
        <w:rPr>
          <w:sz w:val="20"/>
          <w:szCs w:val="20"/>
        </w:rPr>
        <w:t xml:space="preserve">by Crenshaw and Winslow (2006) in which moderate degrees of discomforts that ranged from 4 to 5 was documented. The effect of prolonged fasting postoperatively causes a </w:t>
      </w:r>
      <w:r w:rsidR="00753BEF">
        <w:rPr>
          <w:sz w:val="20"/>
          <w:szCs w:val="20"/>
        </w:rPr>
        <w:t>two</w:t>
      </w:r>
      <w:r w:rsidR="00753BEF" w:rsidRPr="00FB5D69">
        <w:rPr>
          <w:sz w:val="20"/>
          <w:szCs w:val="20"/>
        </w:rPr>
        <w:t>fold</w:t>
      </w:r>
      <w:r w:rsidRPr="00FB5D69">
        <w:rPr>
          <w:sz w:val="20"/>
          <w:szCs w:val="20"/>
        </w:rPr>
        <w:t xml:space="preserve"> increment in the postoperative vomiting. This means for every unit of prolonged time in fasting, there was twice risk of vomiting (r=2.07, </w:t>
      </w:r>
      <w:r w:rsidRPr="00FB5D69">
        <w:rPr>
          <w:i/>
          <w:iCs/>
          <w:sz w:val="20"/>
          <w:szCs w:val="20"/>
        </w:rPr>
        <w:t>p=</w:t>
      </w:r>
      <w:r w:rsidRPr="00FB5D69">
        <w:rPr>
          <w:sz w:val="20"/>
          <w:szCs w:val="20"/>
        </w:rPr>
        <w:t xml:space="preserve">0.051). </w:t>
      </w:r>
      <w:r w:rsidR="00044BEE">
        <w:rPr>
          <w:sz w:val="20"/>
          <w:szCs w:val="20"/>
        </w:rPr>
        <w:t>The literature</w:t>
      </w:r>
      <w:r w:rsidR="00753BEF">
        <w:rPr>
          <w:sz w:val="20"/>
          <w:szCs w:val="20"/>
        </w:rPr>
        <w:t xml:space="preserve"> reveals</w:t>
      </w:r>
      <w:r w:rsidRPr="00FB5D69">
        <w:rPr>
          <w:sz w:val="20"/>
          <w:szCs w:val="20"/>
        </w:rPr>
        <w:t xml:space="preserve"> that postoperative nausea and vomiting surges as the length of fasting time gets longer (</w:t>
      </w:r>
      <w:proofErr w:type="spellStart"/>
      <w:r w:rsidRPr="00FB5D69">
        <w:rPr>
          <w:sz w:val="20"/>
          <w:szCs w:val="20"/>
        </w:rPr>
        <w:t>Onyando</w:t>
      </w:r>
      <w:proofErr w:type="spellEnd"/>
      <w:r w:rsidRPr="00FB5D69">
        <w:rPr>
          <w:sz w:val="20"/>
          <w:szCs w:val="20"/>
        </w:rPr>
        <w:t xml:space="preserve">, 2014; </w:t>
      </w:r>
      <w:proofErr w:type="spellStart"/>
      <w:r w:rsidRPr="00FB5D69">
        <w:rPr>
          <w:sz w:val="20"/>
          <w:szCs w:val="20"/>
        </w:rPr>
        <w:t>Owure</w:t>
      </w:r>
      <w:proofErr w:type="spellEnd"/>
      <w:r w:rsidRPr="00FB5D69">
        <w:rPr>
          <w:sz w:val="20"/>
          <w:szCs w:val="20"/>
        </w:rPr>
        <w:t>, 2008). Similarly, in</w:t>
      </w:r>
      <w:r w:rsidR="00AD11EA" w:rsidRPr="00FB5D69">
        <w:rPr>
          <w:sz w:val="20"/>
          <w:szCs w:val="20"/>
        </w:rPr>
        <w:t xml:space="preserve"> a study done by Søreide et al.</w:t>
      </w:r>
      <w:r w:rsidRPr="00FB5D69">
        <w:rPr>
          <w:sz w:val="20"/>
          <w:szCs w:val="20"/>
        </w:rPr>
        <w:t xml:space="preserve"> (2003) compared patients fasting after midnight prior to surgery and patients having clear liquids until 90 min</w:t>
      </w:r>
      <w:r w:rsidR="00753BEF">
        <w:rPr>
          <w:sz w:val="20"/>
          <w:szCs w:val="20"/>
        </w:rPr>
        <w:t>utes</w:t>
      </w:r>
      <w:r w:rsidRPr="00FB5D69">
        <w:rPr>
          <w:sz w:val="20"/>
          <w:szCs w:val="20"/>
        </w:rPr>
        <w:t xml:space="preserve"> prior to surgery there was no significant difference in postoperative variable.  </w:t>
      </w:r>
    </w:p>
    <w:p w:rsidR="00FF60AC" w:rsidRPr="00FB5D69" w:rsidRDefault="00FF60AC" w:rsidP="00FF60AC">
      <w:pPr>
        <w:pStyle w:val="Default"/>
        <w:jc w:val="both"/>
        <w:rPr>
          <w:b/>
          <w:sz w:val="20"/>
          <w:szCs w:val="20"/>
        </w:rPr>
      </w:pPr>
    </w:p>
    <w:p w:rsidR="00E94DC6" w:rsidRPr="006F7388" w:rsidRDefault="006F7388" w:rsidP="00FF60AC">
      <w:pPr>
        <w:pStyle w:val="Default"/>
        <w:jc w:val="both"/>
        <w:rPr>
          <w:b/>
        </w:rPr>
      </w:pPr>
      <w:r w:rsidRPr="006F7388">
        <w:rPr>
          <w:b/>
        </w:rPr>
        <w:t xml:space="preserve">5. </w:t>
      </w:r>
      <w:r w:rsidR="00E94DC6" w:rsidRPr="006F7388">
        <w:rPr>
          <w:b/>
        </w:rPr>
        <w:t>Conclusions</w:t>
      </w:r>
    </w:p>
    <w:p w:rsidR="00E94DC6" w:rsidRPr="00FB5D69" w:rsidRDefault="00E94DC6" w:rsidP="00FF60AC">
      <w:pPr>
        <w:pStyle w:val="Default"/>
        <w:jc w:val="both"/>
        <w:rPr>
          <w:b/>
          <w:sz w:val="20"/>
          <w:szCs w:val="20"/>
        </w:rPr>
      </w:pPr>
    </w:p>
    <w:p w:rsidR="00E94DC6" w:rsidRDefault="00DF33BA" w:rsidP="00FF60AC">
      <w:pPr>
        <w:pStyle w:val="Default"/>
        <w:jc w:val="both"/>
        <w:rPr>
          <w:sz w:val="20"/>
          <w:szCs w:val="20"/>
        </w:rPr>
      </w:pPr>
      <w:r w:rsidRPr="00FB5D69">
        <w:rPr>
          <w:sz w:val="20"/>
          <w:szCs w:val="20"/>
        </w:rPr>
        <w:t>The study concluded that the associated discomforts after certain period of fasting appeared to have no difference between the traditional and standard groups. There was mild to moderate degrees of discomforts in both groups of study. Though the finding shows similar magnitude of disc</w:t>
      </w:r>
      <w:r w:rsidR="00E86846">
        <w:rPr>
          <w:sz w:val="20"/>
          <w:szCs w:val="20"/>
        </w:rPr>
        <w:t>omfort</w:t>
      </w:r>
      <w:r w:rsidRPr="00FB5D69">
        <w:rPr>
          <w:sz w:val="20"/>
          <w:szCs w:val="20"/>
        </w:rPr>
        <w:t xml:space="preserve"> between the two comparison groups</w:t>
      </w:r>
      <w:r w:rsidR="00753BEF">
        <w:rPr>
          <w:sz w:val="20"/>
          <w:szCs w:val="20"/>
        </w:rPr>
        <w:t>, postoperative discomforts increases</w:t>
      </w:r>
      <w:r w:rsidRPr="00FB5D69">
        <w:rPr>
          <w:sz w:val="20"/>
          <w:szCs w:val="20"/>
        </w:rPr>
        <w:t xml:space="preserve"> as the timing of fasting increases. Moreover, the intraoperative epigastric discomforts appeared </w:t>
      </w:r>
      <w:r w:rsidR="0041728C">
        <w:rPr>
          <w:sz w:val="20"/>
          <w:szCs w:val="20"/>
        </w:rPr>
        <w:t xml:space="preserve">to be more in the group that used </w:t>
      </w:r>
      <w:r w:rsidRPr="00FB5D69">
        <w:rPr>
          <w:sz w:val="20"/>
          <w:szCs w:val="20"/>
        </w:rPr>
        <w:t xml:space="preserve">traditional fasting practice. Therefore, as far as the risk of vomiting preoperatively is </w:t>
      </w:r>
      <w:r w:rsidR="0041728C">
        <w:rPr>
          <w:sz w:val="20"/>
          <w:szCs w:val="20"/>
        </w:rPr>
        <w:t>markedly reduced</w:t>
      </w:r>
      <w:r w:rsidRPr="00FB5D69">
        <w:rPr>
          <w:sz w:val="20"/>
          <w:szCs w:val="20"/>
        </w:rPr>
        <w:t xml:space="preserve"> and the discomforts associated with </w:t>
      </w:r>
      <w:r w:rsidR="0041728C">
        <w:rPr>
          <w:sz w:val="20"/>
          <w:szCs w:val="20"/>
        </w:rPr>
        <w:t xml:space="preserve">it </w:t>
      </w:r>
      <w:r w:rsidRPr="00FB5D69">
        <w:rPr>
          <w:sz w:val="20"/>
          <w:szCs w:val="20"/>
        </w:rPr>
        <w:t>is similar in both groups, exposing mothers to a longer f</w:t>
      </w:r>
      <w:r w:rsidR="0041728C">
        <w:rPr>
          <w:sz w:val="20"/>
          <w:szCs w:val="20"/>
        </w:rPr>
        <w:t xml:space="preserve">asting time should be minimized. It </w:t>
      </w:r>
      <w:r w:rsidRPr="00FB5D69">
        <w:rPr>
          <w:sz w:val="20"/>
          <w:szCs w:val="20"/>
        </w:rPr>
        <w:t xml:space="preserve">is advisable to have shorter preoperative fasting time. </w:t>
      </w:r>
      <w:r w:rsidR="0041728C">
        <w:rPr>
          <w:sz w:val="20"/>
          <w:szCs w:val="20"/>
        </w:rPr>
        <w:t>Further it is recommended to engage</w:t>
      </w:r>
      <w:r w:rsidRPr="00FB5D69">
        <w:rPr>
          <w:sz w:val="20"/>
          <w:szCs w:val="20"/>
        </w:rPr>
        <w:t xml:space="preserve"> further study on a large</w:t>
      </w:r>
      <w:r w:rsidR="0041728C">
        <w:rPr>
          <w:sz w:val="20"/>
          <w:szCs w:val="20"/>
        </w:rPr>
        <w:t>r</w:t>
      </w:r>
      <w:r w:rsidRPr="00FB5D69">
        <w:rPr>
          <w:sz w:val="20"/>
          <w:szCs w:val="20"/>
        </w:rPr>
        <w:t xml:space="preserve"> scale area in </w:t>
      </w:r>
      <w:r w:rsidR="0041728C">
        <w:rPr>
          <w:sz w:val="20"/>
          <w:szCs w:val="20"/>
        </w:rPr>
        <w:t>other types of surgical intervention</w:t>
      </w:r>
      <w:r w:rsidRPr="00FB5D69">
        <w:rPr>
          <w:sz w:val="20"/>
          <w:szCs w:val="20"/>
        </w:rPr>
        <w:t>.</w:t>
      </w:r>
    </w:p>
    <w:p w:rsidR="006E7C54" w:rsidRDefault="006E7C54" w:rsidP="00FF60AC">
      <w:pPr>
        <w:pStyle w:val="Default"/>
        <w:jc w:val="both"/>
        <w:rPr>
          <w:b/>
          <w:szCs w:val="20"/>
        </w:rPr>
      </w:pPr>
    </w:p>
    <w:p w:rsidR="006E7C54" w:rsidRDefault="006E7C54" w:rsidP="00FF60AC">
      <w:pPr>
        <w:pStyle w:val="Default"/>
        <w:jc w:val="both"/>
        <w:rPr>
          <w:b/>
          <w:szCs w:val="20"/>
        </w:rPr>
      </w:pPr>
    </w:p>
    <w:p w:rsidR="006E7C54" w:rsidRDefault="006E7C54" w:rsidP="00FF60AC">
      <w:pPr>
        <w:pStyle w:val="Default"/>
        <w:jc w:val="both"/>
        <w:rPr>
          <w:b/>
          <w:szCs w:val="20"/>
        </w:rPr>
      </w:pPr>
    </w:p>
    <w:p w:rsidR="00044BEE" w:rsidRDefault="00044BEE" w:rsidP="00FF60AC">
      <w:pPr>
        <w:pStyle w:val="Default"/>
        <w:jc w:val="both"/>
        <w:rPr>
          <w:b/>
          <w:szCs w:val="20"/>
        </w:rPr>
      </w:pPr>
    </w:p>
    <w:p w:rsidR="00044BEE" w:rsidRDefault="00044BEE" w:rsidP="00FF60AC">
      <w:pPr>
        <w:pStyle w:val="Default"/>
        <w:jc w:val="both"/>
        <w:rPr>
          <w:b/>
          <w:szCs w:val="20"/>
        </w:rPr>
      </w:pPr>
    </w:p>
    <w:p w:rsidR="006F7388" w:rsidRPr="000B5594" w:rsidRDefault="006F7388" w:rsidP="00FF60AC">
      <w:pPr>
        <w:pStyle w:val="Default"/>
        <w:jc w:val="both"/>
        <w:rPr>
          <w:b/>
          <w:szCs w:val="20"/>
        </w:rPr>
      </w:pPr>
      <w:r w:rsidRPr="000B5594">
        <w:rPr>
          <w:b/>
          <w:szCs w:val="20"/>
        </w:rPr>
        <w:lastRenderedPageBreak/>
        <w:t>Acknowledgement</w:t>
      </w:r>
    </w:p>
    <w:p w:rsidR="00044BEE" w:rsidRDefault="00044BEE" w:rsidP="00FF60AC">
      <w:pPr>
        <w:pStyle w:val="Default"/>
        <w:jc w:val="both"/>
        <w:rPr>
          <w:sz w:val="20"/>
          <w:szCs w:val="20"/>
        </w:rPr>
      </w:pPr>
    </w:p>
    <w:p w:rsidR="006F7388" w:rsidRPr="006F7388" w:rsidRDefault="006F7388" w:rsidP="00FF60AC">
      <w:pPr>
        <w:pStyle w:val="Default"/>
        <w:jc w:val="both"/>
        <w:rPr>
          <w:sz w:val="20"/>
          <w:szCs w:val="20"/>
        </w:rPr>
      </w:pPr>
      <w:r w:rsidRPr="006F7388">
        <w:rPr>
          <w:sz w:val="20"/>
          <w:szCs w:val="20"/>
        </w:rPr>
        <w:t>I forward my gratitude to the endless work done by m</w:t>
      </w:r>
      <w:r w:rsidR="00AE18A3">
        <w:rPr>
          <w:sz w:val="20"/>
          <w:szCs w:val="20"/>
        </w:rPr>
        <w:t>y advisors, Dr. Yosief Yohannes, Professor Dr. Goe</w:t>
      </w:r>
      <w:r w:rsidRPr="006F7388">
        <w:rPr>
          <w:sz w:val="20"/>
          <w:szCs w:val="20"/>
        </w:rPr>
        <w:t>tz Geldner</w:t>
      </w:r>
      <w:r w:rsidR="00AE18A3">
        <w:rPr>
          <w:sz w:val="20"/>
          <w:szCs w:val="20"/>
        </w:rPr>
        <w:t xml:space="preserve"> and Professor John P. McDonough</w:t>
      </w:r>
      <w:r w:rsidRPr="006F7388">
        <w:rPr>
          <w:sz w:val="20"/>
          <w:szCs w:val="20"/>
        </w:rPr>
        <w:t xml:space="preserve"> because this paper would not have been if it was not for them. I forward my gratitude to Professor Traudl Elsholz for all the hard works and visions toward her students. I humbly appreciate Mr. Eyassu Habte, our highly inspired statistician, for his great effort in making this paper a success. I acknowledge to the college of health science and Commission for Higher Board for its material and financial support.</w:t>
      </w:r>
    </w:p>
    <w:p w:rsidR="00AD11EA" w:rsidRPr="00FB5D69" w:rsidRDefault="00AD11EA" w:rsidP="00FF60AC">
      <w:pPr>
        <w:pStyle w:val="Default"/>
        <w:jc w:val="both"/>
        <w:rPr>
          <w:sz w:val="20"/>
          <w:szCs w:val="20"/>
        </w:rPr>
      </w:pPr>
    </w:p>
    <w:p w:rsidR="00AD11EA" w:rsidRPr="006F7388" w:rsidRDefault="00AD11EA" w:rsidP="00FF60AC">
      <w:pPr>
        <w:pStyle w:val="Default"/>
        <w:jc w:val="both"/>
        <w:rPr>
          <w:b/>
          <w:szCs w:val="20"/>
        </w:rPr>
      </w:pPr>
      <w:r w:rsidRPr="006F7388">
        <w:rPr>
          <w:b/>
          <w:szCs w:val="20"/>
        </w:rPr>
        <w:t>References</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roofErr w:type="spellStart"/>
      <w:r w:rsidRPr="00FB5D69">
        <w:rPr>
          <w:rFonts w:ascii="Times New Roman" w:hAnsi="Times New Roman" w:cs="Times New Roman"/>
          <w:color w:val="000000"/>
          <w:sz w:val="20"/>
          <w:szCs w:val="20"/>
        </w:rPr>
        <w:t>Abebe</w:t>
      </w:r>
      <w:proofErr w:type="spellEnd"/>
      <w:r w:rsidRPr="00FB5D69">
        <w:rPr>
          <w:rFonts w:ascii="Times New Roman" w:hAnsi="Times New Roman" w:cs="Times New Roman"/>
          <w:color w:val="000000"/>
          <w:sz w:val="20"/>
          <w:szCs w:val="20"/>
        </w:rPr>
        <w:t xml:space="preserve"> </w:t>
      </w:r>
      <w:proofErr w:type="spellStart"/>
      <w:r w:rsidRPr="00FB5D69">
        <w:rPr>
          <w:rFonts w:ascii="Times New Roman" w:hAnsi="Times New Roman" w:cs="Times New Roman"/>
          <w:color w:val="000000"/>
          <w:sz w:val="20"/>
          <w:szCs w:val="20"/>
        </w:rPr>
        <w:t>W.A</w:t>
      </w:r>
      <w:proofErr w:type="spellEnd"/>
      <w:r w:rsidRPr="00FB5D69">
        <w:rPr>
          <w:rFonts w:ascii="Times New Roman" w:hAnsi="Times New Roman" w:cs="Times New Roman"/>
          <w:color w:val="000000"/>
          <w:sz w:val="20"/>
          <w:szCs w:val="20"/>
        </w:rPr>
        <w:t xml:space="preserve">., </w:t>
      </w:r>
      <w:proofErr w:type="spellStart"/>
      <w:r w:rsidRPr="00FB5D69">
        <w:rPr>
          <w:rFonts w:ascii="Times New Roman" w:hAnsi="Times New Roman" w:cs="Times New Roman"/>
          <w:color w:val="000000"/>
          <w:sz w:val="20"/>
          <w:szCs w:val="20"/>
        </w:rPr>
        <w:t>Rukewe</w:t>
      </w:r>
      <w:proofErr w:type="spellEnd"/>
      <w:r w:rsidRPr="00FB5D69">
        <w:rPr>
          <w:rFonts w:ascii="Times New Roman" w:hAnsi="Times New Roman" w:cs="Times New Roman"/>
          <w:color w:val="000000"/>
          <w:sz w:val="20"/>
          <w:szCs w:val="20"/>
        </w:rPr>
        <w:t xml:space="preserve"> A., Bekele </w:t>
      </w:r>
      <w:proofErr w:type="spellStart"/>
      <w:r w:rsidRPr="00FB5D69">
        <w:rPr>
          <w:rFonts w:ascii="Times New Roman" w:hAnsi="Times New Roman" w:cs="Times New Roman"/>
          <w:color w:val="000000"/>
          <w:sz w:val="20"/>
          <w:szCs w:val="20"/>
        </w:rPr>
        <w:t>N.A</w:t>
      </w:r>
      <w:proofErr w:type="spellEnd"/>
      <w:r w:rsidRPr="00FB5D69">
        <w:rPr>
          <w:rFonts w:ascii="Times New Roman" w:hAnsi="Times New Roman" w:cs="Times New Roman"/>
          <w:color w:val="000000"/>
          <w:sz w:val="20"/>
          <w:szCs w:val="20"/>
        </w:rPr>
        <w:t xml:space="preserve">., &amp; </w:t>
      </w:r>
      <w:proofErr w:type="spellStart"/>
      <w:r w:rsidRPr="00FB5D69">
        <w:rPr>
          <w:rFonts w:ascii="Times New Roman" w:hAnsi="Times New Roman" w:cs="Times New Roman"/>
          <w:color w:val="000000"/>
          <w:sz w:val="20"/>
          <w:szCs w:val="20"/>
        </w:rPr>
        <w:t>Stoffel</w:t>
      </w:r>
      <w:proofErr w:type="spellEnd"/>
      <w:r w:rsidRPr="00FB5D69">
        <w:rPr>
          <w:rFonts w:ascii="Times New Roman" w:hAnsi="Times New Roman" w:cs="Times New Roman"/>
          <w:color w:val="000000"/>
          <w:sz w:val="20"/>
          <w:szCs w:val="20"/>
        </w:rPr>
        <w:t xml:space="preserve"> M. (2015). Preoperative fasting times in elective surgical patients at a referral Hospital in Botswana. </w:t>
      </w:r>
      <w:r w:rsidRPr="00FB5D69">
        <w:rPr>
          <w:rFonts w:ascii="Times New Roman" w:hAnsi="Times New Roman" w:cs="Times New Roman"/>
          <w:i/>
          <w:iCs/>
          <w:color w:val="000000"/>
          <w:sz w:val="20"/>
          <w:szCs w:val="20"/>
        </w:rPr>
        <w:t>The Pan African Medical Journal.</w:t>
      </w:r>
      <w:r w:rsidRPr="00FB5D69">
        <w:rPr>
          <w:rFonts w:ascii="Times New Roman" w:hAnsi="Times New Roman" w:cs="Times New Roman"/>
          <w:color w:val="000000"/>
          <w:sz w:val="20"/>
          <w:szCs w:val="20"/>
        </w:rPr>
        <w:t xml:space="preserve">23:102. Doi:10.11604/pamj.2016.23.102.8863.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Anderson M. &amp; </w:t>
      </w:r>
      <w:proofErr w:type="spellStart"/>
      <w:r w:rsidRPr="00FB5D69">
        <w:rPr>
          <w:rFonts w:ascii="Times New Roman" w:hAnsi="Times New Roman" w:cs="Times New Roman"/>
          <w:color w:val="000000"/>
          <w:sz w:val="20"/>
          <w:szCs w:val="20"/>
        </w:rPr>
        <w:t>Comrie</w:t>
      </w:r>
      <w:proofErr w:type="spellEnd"/>
      <w:r w:rsidRPr="00FB5D69">
        <w:rPr>
          <w:rFonts w:ascii="Times New Roman" w:hAnsi="Times New Roman" w:cs="Times New Roman"/>
          <w:color w:val="000000"/>
          <w:sz w:val="20"/>
          <w:szCs w:val="20"/>
        </w:rPr>
        <w:t xml:space="preserve"> R., (2009). Adopting preoperative fasting guidelines. </w:t>
      </w:r>
      <w:r w:rsidRPr="00FB5D69">
        <w:rPr>
          <w:rFonts w:ascii="Times New Roman" w:hAnsi="Times New Roman" w:cs="Times New Roman"/>
          <w:i/>
          <w:iCs/>
          <w:color w:val="000000"/>
          <w:sz w:val="20"/>
          <w:szCs w:val="20"/>
        </w:rPr>
        <w:t>AORN</w:t>
      </w:r>
      <w:r w:rsidRPr="00FB5D69">
        <w:rPr>
          <w:rFonts w:ascii="Times New Roman" w:hAnsi="Times New Roman" w:cs="Times New Roman"/>
          <w:color w:val="000000"/>
          <w:sz w:val="20"/>
          <w:szCs w:val="20"/>
        </w:rPr>
        <w:t xml:space="preserve">. 90(1), 73-80.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Aroni P., do </w:t>
      </w:r>
      <w:proofErr w:type="spellStart"/>
      <w:r w:rsidRPr="00FB5D69">
        <w:rPr>
          <w:rFonts w:ascii="Times New Roman" w:hAnsi="Times New Roman" w:cs="Times New Roman"/>
          <w:color w:val="000000"/>
          <w:sz w:val="20"/>
          <w:szCs w:val="20"/>
        </w:rPr>
        <w:t>Nascimento</w:t>
      </w:r>
      <w:proofErr w:type="spellEnd"/>
      <w:r w:rsidRPr="00FB5D69">
        <w:rPr>
          <w:rFonts w:ascii="Times New Roman" w:hAnsi="Times New Roman" w:cs="Times New Roman"/>
          <w:color w:val="000000"/>
          <w:sz w:val="20"/>
          <w:szCs w:val="20"/>
        </w:rPr>
        <w:t xml:space="preserve"> L.A., &amp; Fonseca L.F. (2012). Assessment strategies for the management of thirst in the post-anesthetic recovery room. </w:t>
      </w:r>
      <w:proofErr w:type="spellStart"/>
      <w:r w:rsidRPr="00FB5D69">
        <w:rPr>
          <w:rFonts w:ascii="Times New Roman" w:hAnsi="Times New Roman" w:cs="Times New Roman"/>
          <w:i/>
          <w:iCs/>
          <w:color w:val="000000"/>
          <w:sz w:val="20"/>
          <w:szCs w:val="20"/>
        </w:rPr>
        <w:t>Acta</w:t>
      </w:r>
      <w:proofErr w:type="spellEnd"/>
      <w:r w:rsidRPr="00FB5D69">
        <w:rPr>
          <w:rFonts w:ascii="Times New Roman" w:hAnsi="Times New Roman" w:cs="Times New Roman"/>
          <w:i/>
          <w:iCs/>
          <w:color w:val="000000"/>
          <w:sz w:val="20"/>
          <w:szCs w:val="20"/>
        </w:rPr>
        <w:t xml:space="preserve"> Paul </w:t>
      </w:r>
      <w:proofErr w:type="spellStart"/>
      <w:r w:rsidRPr="00FB5D69">
        <w:rPr>
          <w:rFonts w:ascii="Times New Roman" w:hAnsi="Times New Roman" w:cs="Times New Roman"/>
          <w:i/>
          <w:iCs/>
          <w:color w:val="000000"/>
          <w:sz w:val="20"/>
          <w:szCs w:val="20"/>
        </w:rPr>
        <w:t>Enferm</w:t>
      </w:r>
      <w:proofErr w:type="spellEnd"/>
      <w:r w:rsidRPr="00FB5D69">
        <w:rPr>
          <w:rFonts w:ascii="Times New Roman" w:hAnsi="Times New Roman" w:cs="Times New Roman"/>
          <w:color w:val="000000"/>
          <w:sz w:val="20"/>
          <w:szCs w:val="20"/>
        </w:rPr>
        <w:t xml:space="preserve">. 25(4), 530-536.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Asiye G., Isil I. A., Hulya U. &amp; Birgul O.O. (2013). Assessment of Preoperative Fasting Time in Elective general </w:t>
      </w:r>
      <w:proofErr w:type="spellStart"/>
      <w:r w:rsidRPr="00FB5D69">
        <w:rPr>
          <w:rFonts w:ascii="Times New Roman" w:hAnsi="Times New Roman" w:cs="Times New Roman"/>
          <w:color w:val="000000"/>
          <w:sz w:val="20"/>
          <w:szCs w:val="20"/>
        </w:rPr>
        <w:t>Surgery</w:t>
      </w:r>
      <w:r w:rsidRPr="00FB5D69">
        <w:rPr>
          <w:rFonts w:ascii="Times New Roman" w:hAnsi="Times New Roman" w:cs="Times New Roman"/>
          <w:i/>
          <w:iCs/>
          <w:color w:val="000000"/>
          <w:sz w:val="20"/>
          <w:szCs w:val="20"/>
        </w:rPr>
        <w:t>.The</w:t>
      </w:r>
      <w:proofErr w:type="spellEnd"/>
      <w:r w:rsidRPr="00FB5D69">
        <w:rPr>
          <w:rFonts w:ascii="Times New Roman" w:hAnsi="Times New Roman" w:cs="Times New Roman"/>
          <w:i/>
          <w:iCs/>
          <w:color w:val="000000"/>
          <w:sz w:val="20"/>
          <w:szCs w:val="20"/>
        </w:rPr>
        <w:t xml:space="preserve"> Journal of Macro trends in Health and </w:t>
      </w:r>
      <w:proofErr w:type="spellStart"/>
      <w:r w:rsidRPr="00FB5D69">
        <w:rPr>
          <w:rFonts w:ascii="Times New Roman" w:hAnsi="Times New Roman" w:cs="Times New Roman"/>
          <w:i/>
          <w:iCs/>
          <w:color w:val="000000"/>
          <w:sz w:val="20"/>
          <w:szCs w:val="20"/>
        </w:rPr>
        <w:t>Medicine</w:t>
      </w:r>
      <w:proofErr w:type="gramStart"/>
      <w:r w:rsidRPr="00FB5D69">
        <w:rPr>
          <w:rFonts w:ascii="Times New Roman" w:hAnsi="Times New Roman" w:cs="Times New Roman"/>
          <w:i/>
          <w:iCs/>
          <w:color w:val="000000"/>
          <w:sz w:val="20"/>
          <w:szCs w:val="20"/>
        </w:rPr>
        <w:t>,vol</w:t>
      </w:r>
      <w:proofErr w:type="spellEnd"/>
      <w:proofErr w:type="gramEnd"/>
      <w:r w:rsidRPr="00FB5D69">
        <w:rPr>
          <w:rFonts w:ascii="Times New Roman" w:hAnsi="Times New Roman" w:cs="Times New Roman"/>
          <w:i/>
          <w:iCs/>
          <w:color w:val="000000"/>
          <w:sz w:val="20"/>
          <w:szCs w:val="20"/>
        </w:rPr>
        <w:t xml:space="preserve"> 1.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Blanchard J.C., (2012). Requirements for preoperative fasting. </w:t>
      </w:r>
      <w:r w:rsidRPr="00FB5D69">
        <w:rPr>
          <w:rFonts w:ascii="Times New Roman" w:hAnsi="Times New Roman" w:cs="Times New Roman"/>
          <w:i/>
          <w:iCs/>
          <w:color w:val="000000"/>
          <w:sz w:val="20"/>
          <w:szCs w:val="20"/>
        </w:rPr>
        <w:t xml:space="preserve">AORN </w:t>
      </w:r>
      <w:r w:rsidRPr="00FB5D69">
        <w:rPr>
          <w:rFonts w:ascii="Times New Roman" w:hAnsi="Times New Roman" w:cs="Times New Roman"/>
          <w:color w:val="000000"/>
          <w:sz w:val="20"/>
          <w:szCs w:val="20"/>
        </w:rPr>
        <w:t xml:space="preserve">J. 95(5), 661-664.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Crenshaw J.T., (2011). </w:t>
      </w:r>
      <w:proofErr w:type="spellStart"/>
      <w:r w:rsidRPr="00FB5D69">
        <w:rPr>
          <w:rFonts w:ascii="Times New Roman" w:hAnsi="Times New Roman" w:cs="Times New Roman"/>
          <w:color w:val="000000"/>
          <w:sz w:val="20"/>
          <w:szCs w:val="20"/>
        </w:rPr>
        <w:t>Preopreative</w:t>
      </w:r>
      <w:proofErr w:type="spellEnd"/>
      <w:r w:rsidRPr="00FB5D69">
        <w:rPr>
          <w:rFonts w:ascii="Times New Roman" w:hAnsi="Times New Roman" w:cs="Times New Roman"/>
          <w:color w:val="000000"/>
          <w:sz w:val="20"/>
          <w:szCs w:val="20"/>
        </w:rPr>
        <w:t xml:space="preserve"> fasting: will the evidence ever be put into practice. </w:t>
      </w:r>
      <w:r w:rsidRPr="00FB5D69">
        <w:rPr>
          <w:rFonts w:ascii="Times New Roman" w:hAnsi="Times New Roman" w:cs="Times New Roman"/>
          <w:i/>
          <w:iCs/>
          <w:color w:val="000000"/>
          <w:sz w:val="20"/>
          <w:szCs w:val="20"/>
        </w:rPr>
        <w:t>AJN</w:t>
      </w:r>
      <w:r w:rsidRPr="00FB5D69">
        <w:rPr>
          <w:rFonts w:ascii="Times New Roman" w:hAnsi="Times New Roman" w:cs="Times New Roman"/>
          <w:color w:val="000000"/>
          <w:sz w:val="20"/>
          <w:szCs w:val="20"/>
        </w:rPr>
        <w:t xml:space="preserve">. 111(10), 38-43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Crenshaw, J.T. &amp; Winslow, E.H. (2002). Preoperative fasting: old habits die hard. </w:t>
      </w:r>
      <w:r w:rsidRPr="00FB5D69">
        <w:rPr>
          <w:rFonts w:ascii="Times New Roman" w:hAnsi="Times New Roman" w:cs="Times New Roman"/>
          <w:i/>
          <w:iCs/>
          <w:color w:val="000000"/>
          <w:sz w:val="20"/>
          <w:szCs w:val="20"/>
        </w:rPr>
        <w:t>AJN</w:t>
      </w:r>
      <w:r w:rsidRPr="00FB5D69">
        <w:rPr>
          <w:rFonts w:ascii="Times New Roman" w:hAnsi="Times New Roman" w:cs="Times New Roman"/>
          <w:color w:val="000000"/>
          <w:sz w:val="20"/>
          <w:szCs w:val="20"/>
        </w:rPr>
        <w:t xml:space="preserve">. 102(5), 36-44.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Crenshaw J.T., &amp; Winslow E.H. (2006). Actual versus instructed fasting times and associated discomforts in women having scheduled cesarean birth. </w:t>
      </w:r>
      <w:r w:rsidRPr="00FB5D69">
        <w:rPr>
          <w:rFonts w:ascii="Times New Roman" w:hAnsi="Times New Roman" w:cs="Times New Roman"/>
          <w:i/>
          <w:iCs/>
          <w:color w:val="000000"/>
          <w:sz w:val="20"/>
          <w:szCs w:val="20"/>
        </w:rPr>
        <w:t xml:space="preserve">Journal Obstetrics Gynecology Neonatal Nursing. 35:257-64.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Cunningham F.G., Norman F., Gant </w:t>
      </w:r>
      <w:proofErr w:type="spellStart"/>
      <w:r w:rsidRPr="00FB5D69">
        <w:rPr>
          <w:rFonts w:ascii="Times New Roman" w:hAnsi="Times New Roman" w:cs="Times New Roman"/>
          <w:color w:val="000000"/>
          <w:sz w:val="20"/>
          <w:szCs w:val="20"/>
        </w:rPr>
        <w:t>K.J</w:t>
      </w:r>
      <w:proofErr w:type="spellEnd"/>
      <w:r w:rsidRPr="00FB5D69">
        <w:rPr>
          <w:rFonts w:ascii="Times New Roman" w:hAnsi="Times New Roman" w:cs="Times New Roman"/>
          <w:color w:val="000000"/>
          <w:sz w:val="20"/>
          <w:szCs w:val="20"/>
        </w:rPr>
        <w:t xml:space="preserve">., </w:t>
      </w:r>
      <w:proofErr w:type="spellStart"/>
      <w:r w:rsidRPr="00FB5D69">
        <w:rPr>
          <w:rFonts w:ascii="Times New Roman" w:hAnsi="Times New Roman" w:cs="Times New Roman"/>
          <w:color w:val="000000"/>
          <w:sz w:val="20"/>
          <w:szCs w:val="20"/>
        </w:rPr>
        <w:t>Leveno</w:t>
      </w:r>
      <w:proofErr w:type="spellEnd"/>
      <w:r w:rsidRPr="00FB5D69">
        <w:rPr>
          <w:rFonts w:ascii="Times New Roman" w:hAnsi="Times New Roman" w:cs="Times New Roman"/>
          <w:color w:val="000000"/>
          <w:sz w:val="20"/>
          <w:szCs w:val="20"/>
        </w:rPr>
        <w:t xml:space="preserve"> </w:t>
      </w:r>
      <w:proofErr w:type="spellStart"/>
      <w:r w:rsidRPr="00FB5D69">
        <w:rPr>
          <w:rFonts w:ascii="Times New Roman" w:hAnsi="Times New Roman" w:cs="Times New Roman"/>
          <w:color w:val="000000"/>
          <w:sz w:val="20"/>
          <w:szCs w:val="20"/>
        </w:rPr>
        <w:t>L.C</w:t>
      </w:r>
      <w:proofErr w:type="spellEnd"/>
      <w:r w:rsidRPr="00FB5D69">
        <w:rPr>
          <w:rFonts w:ascii="Times New Roman" w:hAnsi="Times New Roman" w:cs="Times New Roman"/>
          <w:color w:val="000000"/>
          <w:sz w:val="20"/>
          <w:szCs w:val="20"/>
        </w:rPr>
        <w:t xml:space="preserve">, Gilstrap J.C., &amp; </w:t>
      </w:r>
      <w:proofErr w:type="spellStart"/>
      <w:r w:rsidRPr="00FB5D69">
        <w:rPr>
          <w:rFonts w:ascii="Times New Roman" w:hAnsi="Times New Roman" w:cs="Times New Roman"/>
          <w:color w:val="000000"/>
          <w:sz w:val="20"/>
          <w:szCs w:val="20"/>
        </w:rPr>
        <w:t>Hauth</w:t>
      </w:r>
      <w:proofErr w:type="spellEnd"/>
      <w:r w:rsidRPr="00FB5D69">
        <w:rPr>
          <w:rFonts w:ascii="Times New Roman" w:hAnsi="Times New Roman" w:cs="Times New Roman"/>
          <w:color w:val="000000"/>
          <w:sz w:val="20"/>
          <w:szCs w:val="20"/>
        </w:rPr>
        <w:t xml:space="preserve"> </w:t>
      </w:r>
      <w:proofErr w:type="spellStart"/>
      <w:r w:rsidRPr="00FB5D69">
        <w:rPr>
          <w:rFonts w:ascii="Times New Roman" w:hAnsi="Times New Roman" w:cs="Times New Roman"/>
          <w:color w:val="000000"/>
          <w:sz w:val="20"/>
          <w:szCs w:val="20"/>
        </w:rPr>
        <w:t>K.D</w:t>
      </w:r>
      <w:proofErr w:type="spellEnd"/>
      <w:proofErr w:type="gramStart"/>
      <w:r w:rsidRPr="00FB5D69">
        <w:rPr>
          <w:rFonts w:ascii="Times New Roman" w:hAnsi="Times New Roman" w:cs="Times New Roman"/>
          <w:color w:val="000000"/>
          <w:sz w:val="20"/>
          <w:szCs w:val="20"/>
        </w:rPr>
        <w:t>.(</w:t>
      </w:r>
      <w:proofErr w:type="gramEnd"/>
      <w:r w:rsidRPr="00FB5D69">
        <w:rPr>
          <w:rFonts w:ascii="Times New Roman" w:hAnsi="Times New Roman" w:cs="Times New Roman"/>
          <w:color w:val="000000"/>
          <w:sz w:val="20"/>
          <w:szCs w:val="20"/>
        </w:rPr>
        <w:t xml:space="preserve">2001). 21st </w:t>
      </w:r>
      <w:proofErr w:type="gramStart"/>
      <w:r w:rsidRPr="00FB5D69">
        <w:rPr>
          <w:rFonts w:ascii="Times New Roman" w:hAnsi="Times New Roman" w:cs="Times New Roman"/>
          <w:color w:val="000000"/>
          <w:sz w:val="20"/>
          <w:szCs w:val="20"/>
        </w:rPr>
        <w:t>ed</w:t>
      </w:r>
      <w:proofErr w:type="gramEnd"/>
      <w:r w:rsidRPr="00FB5D69">
        <w:rPr>
          <w:rFonts w:ascii="Times New Roman" w:hAnsi="Times New Roman" w:cs="Times New Roman"/>
          <w:color w:val="000000"/>
          <w:sz w:val="20"/>
          <w:szCs w:val="20"/>
        </w:rPr>
        <w:t xml:space="preserve">. New York: </w:t>
      </w:r>
      <w:proofErr w:type="spellStart"/>
      <w:r w:rsidRPr="00FB5D69">
        <w:rPr>
          <w:rFonts w:ascii="Times New Roman" w:hAnsi="Times New Roman" w:cs="Times New Roman"/>
          <w:color w:val="000000"/>
          <w:sz w:val="20"/>
          <w:szCs w:val="20"/>
        </w:rPr>
        <w:t>McGrow</w:t>
      </w:r>
      <w:proofErr w:type="spellEnd"/>
      <w:r w:rsidRPr="00FB5D69">
        <w:rPr>
          <w:rFonts w:ascii="Times New Roman" w:hAnsi="Times New Roman" w:cs="Times New Roman"/>
          <w:color w:val="000000"/>
          <w:sz w:val="20"/>
          <w:szCs w:val="20"/>
        </w:rPr>
        <w:t xml:space="preserve">-Hill; Medical publishing Division; </w:t>
      </w:r>
      <w:proofErr w:type="gramStart"/>
      <w:r w:rsidRPr="00FB5D69">
        <w:rPr>
          <w:rFonts w:ascii="Times New Roman" w:hAnsi="Times New Roman" w:cs="Times New Roman"/>
          <w:color w:val="000000"/>
          <w:sz w:val="20"/>
          <w:szCs w:val="20"/>
        </w:rPr>
        <w:t>Williams</w:t>
      </w:r>
      <w:proofErr w:type="gramEnd"/>
      <w:r w:rsidRPr="00FB5D69">
        <w:rPr>
          <w:rFonts w:ascii="Times New Roman" w:hAnsi="Times New Roman" w:cs="Times New Roman"/>
          <w:color w:val="000000"/>
          <w:sz w:val="20"/>
          <w:szCs w:val="20"/>
        </w:rPr>
        <w:t xml:space="preserve"> obstetrics; p.314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r w:rsidRPr="00FB5D69">
        <w:rPr>
          <w:rFonts w:ascii="Times New Roman" w:hAnsi="Times New Roman" w:cs="Times New Roman"/>
          <w:color w:val="000000"/>
          <w:sz w:val="20"/>
          <w:szCs w:val="20"/>
        </w:rPr>
        <w:t xml:space="preserve">De Costa, C., &amp; </w:t>
      </w:r>
      <w:proofErr w:type="spellStart"/>
      <w:r w:rsidRPr="00FB5D69">
        <w:rPr>
          <w:rFonts w:ascii="Times New Roman" w:hAnsi="Times New Roman" w:cs="Times New Roman"/>
          <w:color w:val="000000"/>
          <w:sz w:val="20"/>
          <w:szCs w:val="20"/>
        </w:rPr>
        <w:t>Howar</w:t>
      </w:r>
      <w:proofErr w:type="spellEnd"/>
      <w:r w:rsidRPr="00FB5D69">
        <w:rPr>
          <w:rFonts w:ascii="Times New Roman" w:hAnsi="Times New Roman" w:cs="Times New Roman"/>
          <w:color w:val="000000"/>
          <w:sz w:val="20"/>
          <w:szCs w:val="20"/>
        </w:rPr>
        <w:t xml:space="preserve"> P., (2006). Cesarean section. Manual for doctors. North Queensland, Austria. </w:t>
      </w:r>
    </w:p>
    <w:p w:rsidR="00AD11EA" w:rsidRPr="00FB5D69" w:rsidRDefault="00AD11EA" w:rsidP="00AD11EA">
      <w:pPr>
        <w:autoSpaceDE w:val="0"/>
        <w:autoSpaceDN w:val="0"/>
        <w:adjustRightInd w:val="0"/>
        <w:spacing w:after="0" w:line="240" w:lineRule="auto"/>
        <w:rPr>
          <w:rFonts w:ascii="Times New Roman" w:hAnsi="Times New Roman" w:cs="Times New Roman"/>
          <w:color w:val="000000"/>
          <w:sz w:val="20"/>
          <w:szCs w:val="20"/>
        </w:rPr>
      </w:pPr>
    </w:p>
    <w:p w:rsidR="000B5594" w:rsidRDefault="00AD11EA" w:rsidP="000B5594">
      <w:pPr>
        <w:autoSpaceDE w:val="0"/>
        <w:autoSpaceDN w:val="0"/>
        <w:adjustRightInd w:val="0"/>
        <w:spacing w:after="0" w:line="240" w:lineRule="auto"/>
        <w:rPr>
          <w:rFonts w:ascii="Calibri" w:hAnsi="Calibri" w:cs="Calibri"/>
          <w:color w:val="000000"/>
          <w:sz w:val="20"/>
          <w:szCs w:val="20"/>
        </w:rPr>
      </w:pPr>
      <w:r w:rsidRPr="00FB5D69">
        <w:rPr>
          <w:rFonts w:ascii="Times New Roman" w:hAnsi="Times New Roman" w:cs="Times New Roman"/>
          <w:color w:val="000000"/>
          <w:sz w:val="20"/>
          <w:szCs w:val="20"/>
        </w:rPr>
        <w:t xml:space="preserve">Direkvand-Moghadam A., and Rezaeian M. (2012). Increased hydration of </w:t>
      </w:r>
      <w:proofErr w:type="spellStart"/>
      <w:r w:rsidRPr="00FB5D69">
        <w:rPr>
          <w:rFonts w:ascii="Times New Roman" w:hAnsi="Times New Roman" w:cs="Times New Roman"/>
          <w:color w:val="000000"/>
          <w:sz w:val="20"/>
          <w:szCs w:val="20"/>
        </w:rPr>
        <w:t>nulliparas</w:t>
      </w:r>
      <w:proofErr w:type="spellEnd"/>
      <w:r w:rsidRPr="00FB5D69">
        <w:rPr>
          <w:rFonts w:ascii="Times New Roman" w:hAnsi="Times New Roman" w:cs="Times New Roman"/>
          <w:color w:val="000000"/>
          <w:sz w:val="20"/>
          <w:szCs w:val="20"/>
        </w:rPr>
        <w:t xml:space="preserve"> in labor. </w:t>
      </w:r>
      <w:r w:rsidRPr="00FB5D69">
        <w:rPr>
          <w:rFonts w:ascii="Times New Roman" w:hAnsi="Times New Roman" w:cs="Times New Roman"/>
          <w:i/>
          <w:iCs/>
          <w:color w:val="000000"/>
          <w:sz w:val="20"/>
          <w:szCs w:val="20"/>
        </w:rPr>
        <w:t xml:space="preserve">International Journal Gynaecology Obstetrics. </w:t>
      </w:r>
      <w:r w:rsidRPr="00FB5D69">
        <w:rPr>
          <w:rFonts w:ascii="Times New Roman" w:hAnsi="Times New Roman" w:cs="Times New Roman"/>
          <w:color w:val="000000"/>
          <w:sz w:val="20"/>
          <w:szCs w:val="20"/>
        </w:rPr>
        <w:t xml:space="preserve">118: 23-5. </w:t>
      </w:r>
      <w:r w:rsidR="000B5594">
        <w:rPr>
          <w:rFonts w:ascii="Calibri" w:hAnsi="Calibri" w:cs="Calibri"/>
          <w:color w:val="000000"/>
          <w:sz w:val="20"/>
          <w:szCs w:val="20"/>
        </w:rPr>
        <w:t xml:space="preserve">39 </w:t>
      </w:r>
    </w:p>
    <w:p w:rsidR="000B5594" w:rsidRDefault="000B5594" w:rsidP="000B5594">
      <w:pPr>
        <w:autoSpaceDE w:val="0"/>
        <w:autoSpaceDN w:val="0"/>
        <w:adjustRightInd w:val="0"/>
        <w:spacing w:after="0" w:line="240" w:lineRule="auto"/>
        <w:rPr>
          <w:rFonts w:ascii="Calibri" w:hAnsi="Calibri" w:cs="Calibri"/>
          <w:color w:val="000000"/>
          <w:sz w:val="20"/>
          <w:szCs w:val="20"/>
        </w:rPr>
      </w:pPr>
    </w:p>
    <w:p w:rsidR="00AD11EA" w:rsidRPr="00FB5D69" w:rsidRDefault="00AD11EA" w:rsidP="000B5594">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Dolgun E., </w:t>
      </w:r>
      <w:proofErr w:type="spellStart"/>
      <w:r w:rsidRPr="00FB5D69">
        <w:rPr>
          <w:rFonts w:ascii="Times New Roman" w:hAnsi="Times New Roman" w:cs="Times New Roman"/>
          <w:sz w:val="20"/>
          <w:szCs w:val="20"/>
        </w:rPr>
        <w:t>Taşdemir</w:t>
      </w:r>
      <w:proofErr w:type="spellEnd"/>
      <w:r w:rsidRPr="00FB5D69">
        <w:rPr>
          <w:rFonts w:ascii="Times New Roman" w:hAnsi="Times New Roman" w:cs="Times New Roman"/>
          <w:sz w:val="20"/>
          <w:szCs w:val="20"/>
        </w:rPr>
        <w:t xml:space="preserve"> N., Ter N., Yavuz M., (2011). Investigation of preoperative fasting times of surgical patients. </w:t>
      </w:r>
      <w:proofErr w:type="spellStart"/>
      <w:r w:rsidRPr="00FB5D69">
        <w:rPr>
          <w:rFonts w:ascii="Times New Roman" w:hAnsi="Times New Roman" w:cs="Times New Roman"/>
          <w:sz w:val="20"/>
          <w:szCs w:val="20"/>
        </w:rPr>
        <w:t>Fırat</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Üniversitesi</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Sağ.Bil.Tıp</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Derg</w:t>
      </w:r>
      <w:proofErr w:type="spellEnd"/>
      <w:r w:rsidRPr="00FB5D69">
        <w:rPr>
          <w:rFonts w:ascii="Times New Roman" w:hAnsi="Times New Roman" w:cs="Times New Roman"/>
          <w:sz w:val="20"/>
          <w:szCs w:val="20"/>
        </w:rPr>
        <w:t xml:space="preserve">. 25(1), 11-15.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roofErr w:type="spellStart"/>
      <w:r w:rsidRPr="00FB5D69">
        <w:rPr>
          <w:rFonts w:ascii="Times New Roman" w:hAnsi="Times New Roman" w:cs="Times New Roman"/>
          <w:sz w:val="20"/>
          <w:szCs w:val="20"/>
        </w:rPr>
        <w:t>Faria</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M.N</w:t>
      </w:r>
      <w:proofErr w:type="spellEnd"/>
      <w:r w:rsidRPr="00FB5D69">
        <w:rPr>
          <w:rFonts w:ascii="Times New Roman" w:hAnsi="Times New Roman" w:cs="Times New Roman"/>
          <w:sz w:val="20"/>
          <w:szCs w:val="20"/>
        </w:rPr>
        <w:t>., de Aguilar-</w:t>
      </w:r>
      <w:proofErr w:type="spellStart"/>
      <w:r w:rsidRPr="00FB5D69">
        <w:rPr>
          <w:rFonts w:ascii="Times New Roman" w:hAnsi="Times New Roman" w:cs="Times New Roman"/>
          <w:sz w:val="20"/>
          <w:szCs w:val="20"/>
        </w:rPr>
        <w:t>Nascimento</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J.E</w:t>
      </w:r>
      <w:proofErr w:type="spellEnd"/>
      <w:r w:rsidRPr="00FB5D69">
        <w:rPr>
          <w:rFonts w:ascii="Times New Roman" w:hAnsi="Times New Roman" w:cs="Times New Roman"/>
          <w:sz w:val="20"/>
          <w:szCs w:val="20"/>
        </w:rPr>
        <w:t xml:space="preserve">., &amp; </w:t>
      </w:r>
      <w:proofErr w:type="spellStart"/>
      <w:r w:rsidRPr="00FB5D69">
        <w:rPr>
          <w:rFonts w:ascii="Times New Roman" w:hAnsi="Times New Roman" w:cs="Times New Roman"/>
          <w:sz w:val="20"/>
          <w:szCs w:val="20"/>
        </w:rPr>
        <w:t>Pimenta</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O.S</w:t>
      </w:r>
      <w:proofErr w:type="spellEnd"/>
      <w:r w:rsidRPr="00FB5D69">
        <w:rPr>
          <w:rFonts w:ascii="Times New Roman" w:hAnsi="Times New Roman" w:cs="Times New Roman"/>
          <w:sz w:val="20"/>
          <w:szCs w:val="20"/>
        </w:rPr>
        <w:t>., (2009). Preoperative fasting of 2 hours minimizes insulin resistance and organic response to trauma after video-cholecystectomy</w:t>
      </w:r>
      <w:r w:rsidRPr="00FB5D69">
        <w:rPr>
          <w:rFonts w:ascii="Times New Roman" w:hAnsi="Times New Roman" w:cs="Times New Roman"/>
          <w:i/>
          <w:iCs/>
          <w:sz w:val="20"/>
          <w:szCs w:val="20"/>
        </w:rPr>
        <w:t xml:space="preserve">: </w:t>
      </w:r>
      <w:r w:rsidRPr="00FB5D69">
        <w:rPr>
          <w:rFonts w:ascii="Times New Roman" w:hAnsi="Times New Roman" w:cs="Times New Roman"/>
          <w:sz w:val="20"/>
          <w:szCs w:val="20"/>
        </w:rPr>
        <w:t xml:space="preserve">A randomized, controlled, clinical trial. </w:t>
      </w:r>
      <w:r w:rsidRPr="00FB5D69">
        <w:rPr>
          <w:rFonts w:ascii="Times New Roman" w:hAnsi="Times New Roman" w:cs="Times New Roman"/>
          <w:i/>
          <w:iCs/>
          <w:sz w:val="20"/>
          <w:szCs w:val="20"/>
        </w:rPr>
        <w:t>World Journal Surgery</w:t>
      </w:r>
      <w:r w:rsidRPr="00FB5D69">
        <w:rPr>
          <w:rFonts w:ascii="Times New Roman" w:hAnsi="Times New Roman" w:cs="Times New Roman"/>
          <w:sz w:val="20"/>
          <w:szCs w:val="20"/>
        </w:rPr>
        <w:t xml:space="preserve">. 33(6), 1158-1164.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Njorege G., Kivuti-Bitok, L., &amp; Kimani, S., (2017). Preoperative fasting among Adult Patients for Elective Surgery in a Kenyan Referral Hospital</w:t>
      </w:r>
      <w:r w:rsidRPr="00FB5D69">
        <w:rPr>
          <w:rFonts w:ascii="Times New Roman" w:hAnsi="Times New Roman" w:cs="Times New Roman"/>
          <w:i/>
          <w:iCs/>
          <w:sz w:val="20"/>
          <w:szCs w:val="20"/>
        </w:rPr>
        <w:t xml:space="preserve">. </w:t>
      </w:r>
      <w:proofErr w:type="spellStart"/>
      <w:r w:rsidRPr="00FB5D69">
        <w:rPr>
          <w:rFonts w:ascii="Times New Roman" w:hAnsi="Times New Roman" w:cs="Times New Roman"/>
          <w:i/>
          <w:iCs/>
          <w:sz w:val="20"/>
          <w:szCs w:val="20"/>
        </w:rPr>
        <w:t>Hindawi</w:t>
      </w:r>
      <w:proofErr w:type="spellEnd"/>
      <w:r w:rsidRPr="00FB5D69">
        <w:rPr>
          <w:rFonts w:ascii="Times New Roman" w:hAnsi="Times New Roman" w:cs="Times New Roman"/>
          <w:i/>
          <w:iCs/>
          <w:sz w:val="20"/>
          <w:szCs w:val="20"/>
        </w:rPr>
        <w:t xml:space="preserve"> International </w:t>
      </w:r>
      <w:proofErr w:type="spellStart"/>
      <w:r w:rsidRPr="00FB5D69">
        <w:rPr>
          <w:rFonts w:ascii="Times New Roman" w:hAnsi="Times New Roman" w:cs="Times New Roman"/>
          <w:i/>
          <w:iCs/>
          <w:sz w:val="20"/>
          <w:szCs w:val="20"/>
        </w:rPr>
        <w:t>Scholarily</w:t>
      </w:r>
      <w:proofErr w:type="spellEnd"/>
      <w:r w:rsidRPr="00FB5D69">
        <w:rPr>
          <w:rFonts w:ascii="Times New Roman" w:hAnsi="Times New Roman" w:cs="Times New Roman"/>
          <w:i/>
          <w:iCs/>
          <w:sz w:val="20"/>
          <w:szCs w:val="20"/>
        </w:rPr>
        <w:t xml:space="preserve"> research Notices</w:t>
      </w:r>
      <w:r w:rsidRPr="00FB5D69">
        <w:rPr>
          <w:rFonts w:ascii="Times New Roman" w:hAnsi="Times New Roman" w:cs="Times New Roman"/>
          <w:sz w:val="20"/>
          <w:szCs w:val="20"/>
        </w:rPr>
        <w:t xml:space="preserve">. doi.org/10.1155/2017/2159606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Gorashi C., </w:t>
      </w:r>
      <w:proofErr w:type="spellStart"/>
      <w:r w:rsidRPr="00FB5D69">
        <w:rPr>
          <w:rFonts w:ascii="Times New Roman" w:hAnsi="Times New Roman" w:cs="Times New Roman"/>
          <w:sz w:val="20"/>
          <w:szCs w:val="20"/>
        </w:rPr>
        <w:t>Ashori</w:t>
      </w:r>
      <w:proofErr w:type="spellEnd"/>
      <w:r w:rsidRPr="00FB5D69">
        <w:rPr>
          <w:rFonts w:ascii="Times New Roman" w:hAnsi="Times New Roman" w:cs="Times New Roman"/>
          <w:sz w:val="20"/>
          <w:szCs w:val="20"/>
        </w:rPr>
        <w:t xml:space="preserve"> V., </w:t>
      </w:r>
      <w:proofErr w:type="spellStart"/>
      <w:r w:rsidRPr="00FB5D69">
        <w:rPr>
          <w:rFonts w:ascii="Times New Roman" w:hAnsi="Times New Roman" w:cs="Times New Roman"/>
          <w:sz w:val="20"/>
          <w:szCs w:val="20"/>
        </w:rPr>
        <w:t>Aminzadeh</w:t>
      </w:r>
      <w:proofErr w:type="spellEnd"/>
      <w:r w:rsidRPr="00FB5D69">
        <w:rPr>
          <w:rFonts w:ascii="Times New Roman" w:hAnsi="Times New Roman" w:cs="Times New Roman"/>
          <w:sz w:val="20"/>
          <w:szCs w:val="20"/>
        </w:rPr>
        <w:t xml:space="preserve"> F., &amp; </w:t>
      </w:r>
      <w:proofErr w:type="spellStart"/>
      <w:r w:rsidRPr="00FB5D69">
        <w:rPr>
          <w:rFonts w:ascii="Times New Roman" w:hAnsi="Times New Roman" w:cs="Times New Roman"/>
          <w:sz w:val="20"/>
          <w:szCs w:val="20"/>
        </w:rPr>
        <w:t>Mokhtari</w:t>
      </w:r>
      <w:proofErr w:type="spellEnd"/>
      <w:r w:rsidRPr="00FB5D69">
        <w:rPr>
          <w:rFonts w:ascii="Times New Roman" w:hAnsi="Times New Roman" w:cs="Times New Roman"/>
          <w:sz w:val="20"/>
          <w:szCs w:val="20"/>
        </w:rPr>
        <w:t xml:space="preserve"> M. (2014). The effects of oral fluid intake an hour before cesarean section on regurgitation incidence. </w:t>
      </w:r>
      <w:r w:rsidRPr="00FB5D69">
        <w:rPr>
          <w:rFonts w:ascii="Times New Roman" w:hAnsi="Times New Roman" w:cs="Times New Roman"/>
          <w:i/>
          <w:iCs/>
          <w:sz w:val="20"/>
          <w:szCs w:val="20"/>
        </w:rPr>
        <w:t xml:space="preserve">Iranian Journal of Nursing and Midwifery research. </w:t>
      </w:r>
      <w:r w:rsidRPr="00FB5D69">
        <w:rPr>
          <w:rFonts w:ascii="Times New Roman" w:hAnsi="Times New Roman" w:cs="Times New Roman"/>
          <w:sz w:val="20"/>
          <w:szCs w:val="20"/>
        </w:rPr>
        <w:t xml:space="preserve">19(4): 439-442.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Gunawardhana A.I., (2012). Knowledge, attitudes and practice of preoperative fasting guidelines in the National Hospital of Sri Lanka</w:t>
      </w:r>
      <w:r w:rsidRPr="00FB5D69">
        <w:rPr>
          <w:rFonts w:ascii="Times New Roman" w:hAnsi="Times New Roman" w:cs="Times New Roman"/>
          <w:i/>
          <w:iCs/>
          <w:sz w:val="20"/>
          <w:szCs w:val="20"/>
        </w:rPr>
        <w:t xml:space="preserve">. Sri Lankan Journal of </w:t>
      </w:r>
      <w:proofErr w:type="spellStart"/>
      <w:r w:rsidRPr="00FB5D69">
        <w:rPr>
          <w:rFonts w:ascii="Times New Roman" w:hAnsi="Times New Roman" w:cs="Times New Roman"/>
          <w:i/>
          <w:iCs/>
          <w:sz w:val="20"/>
          <w:szCs w:val="20"/>
        </w:rPr>
        <w:t>Anaesthesiology</w:t>
      </w:r>
      <w:proofErr w:type="spellEnd"/>
      <w:r w:rsidRPr="00FB5D69">
        <w:rPr>
          <w:rFonts w:ascii="Times New Roman" w:hAnsi="Times New Roman" w:cs="Times New Roman"/>
          <w:sz w:val="20"/>
          <w:szCs w:val="20"/>
        </w:rPr>
        <w:t xml:space="preserve">. 20(2), 92-95.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lastRenderedPageBreak/>
        <w:t>Gunther P. P., &amp; José Eduardo de Aguilar-</w:t>
      </w:r>
      <w:proofErr w:type="spellStart"/>
      <w:r w:rsidRPr="00FB5D69">
        <w:rPr>
          <w:rFonts w:ascii="Times New Roman" w:hAnsi="Times New Roman" w:cs="Times New Roman"/>
          <w:sz w:val="20"/>
          <w:szCs w:val="20"/>
        </w:rPr>
        <w:t>Nascimento</w:t>
      </w:r>
      <w:proofErr w:type="spellEnd"/>
      <w:r w:rsidRPr="00FB5D69">
        <w:rPr>
          <w:rFonts w:ascii="Times New Roman" w:hAnsi="Times New Roman" w:cs="Times New Roman"/>
          <w:sz w:val="20"/>
          <w:szCs w:val="20"/>
        </w:rPr>
        <w:t xml:space="preserve">. (2013). Prolonged Preoperative Fasting in Elective Surgical Patients: Why Should We Reduce It? </w:t>
      </w:r>
      <w:r w:rsidRPr="00FB5D69">
        <w:rPr>
          <w:rFonts w:ascii="Times New Roman" w:hAnsi="Times New Roman" w:cs="Times New Roman"/>
          <w:i/>
          <w:iCs/>
          <w:sz w:val="20"/>
          <w:szCs w:val="20"/>
        </w:rPr>
        <w:t xml:space="preserve">American Society for Parenteral and Enteral Nutrition </w:t>
      </w:r>
      <w:r w:rsidRPr="00FB5D69">
        <w:rPr>
          <w:rFonts w:ascii="Times New Roman" w:hAnsi="Times New Roman" w:cs="Times New Roman"/>
          <w:sz w:val="20"/>
          <w:szCs w:val="20"/>
        </w:rPr>
        <w:t xml:space="preserve">DOI: 10.1177/0884533613514277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Gyte G.M., &amp; Richens Y. (2006). </w:t>
      </w:r>
      <w:proofErr w:type="spellStart"/>
      <w:r w:rsidRPr="00FB5D69">
        <w:rPr>
          <w:rFonts w:ascii="Times New Roman" w:hAnsi="Times New Roman" w:cs="Times New Roman"/>
          <w:sz w:val="20"/>
          <w:szCs w:val="20"/>
        </w:rPr>
        <w:t>Routime</w:t>
      </w:r>
      <w:proofErr w:type="spellEnd"/>
      <w:r w:rsidRPr="00FB5D69">
        <w:rPr>
          <w:rFonts w:ascii="Times New Roman" w:hAnsi="Times New Roman" w:cs="Times New Roman"/>
          <w:sz w:val="20"/>
          <w:szCs w:val="20"/>
        </w:rPr>
        <w:t xml:space="preserve"> prophylactic drugs in normal </w:t>
      </w:r>
      <w:proofErr w:type="spellStart"/>
      <w:r w:rsidRPr="00FB5D69">
        <w:rPr>
          <w:rFonts w:ascii="Times New Roman" w:hAnsi="Times New Roman" w:cs="Times New Roman"/>
          <w:sz w:val="20"/>
          <w:szCs w:val="20"/>
        </w:rPr>
        <w:t>labour</w:t>
      </w:r>
      <w:proofErr w:type="spellEnd"/>
      <w:r w:rsidRPr="00FB5D69">
        <w:rPr>
          <w:rFonts w:ascii="Times New Roman" w:hAnsi="Times New Roman" w:cs="Times New Roman"/>
          <w:sz w:val="20"/>
          <w:szCs w:val="20"/>
        </w:rPr>
        <w:t xml:space="preserve"> for reducing gastric aspiration and its effects. Cochrane database System Rev. (3):CD005298.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0B5594" w:rsidRDefault="00AD11EA" w:rsidP="000B5594">
      <w:pPr>
        <w:autoSpaceDE w:val="0"/>
        <w:autoSpaceDN w:val="0"/>
        <w:adjustRightInd w:val="0"/>
        <w:spacing w:after="0" w:line="240" w:lineRule="auto"/>
        <w:rPr>
          <w:rFonts w:ascii="Calibri" w:hAnsi="Calibri" w:cs="Calibri"/>
          <w:sz w:val="20"/>
          <w:szCs w:val="20"/>
        </w:rPr>
      </w:pPr>
      <w:r w:rsidRPr="00FB5D69">
        <w:rPr>
          <w:rFonts w:ascii="Times New Roman" w:hAnsi="Times New Roman" w:cs="Times New Roman"/>
          <w:sz w:val="20"/>
          <w:szCs w:val="20"/>
        </w:rPr>
        <w:t xml:space="preserve">Helminen H., Viitanen H., &amp; Sajanti J. (2009). Effect of preoperative intravenous carbohydrate loading on preoperative discomfort in elective surgery </w:t>
      </w:r>
      <w:proofErr w:type="spellStart"/>
      <w:r w:rsidRPr="00FB5D69">
        <w:rPr>
          <w:rFonts w:ascii="Times New Roman" w:hAnsi="Times New Roman" w:cs="Times New Roman"/>
          <w:sz w:val="20"/>
          <w:szCs w:val="20"/>
        </w:rPr>
        <w:t>atients</w:t>
      </w:r>
      <w:proofErr w:type="spellEnd"/>
      <w:r w:rsidRPr="00FB5D69">
        <w:rPr>
          <w:rFonts w:ascii="Times New Roman" w:hAnsi="Times New Roman" w:cs="Times New Roman"/>
          <w:sz w:val="20"/>
          <w:szCs w:val="20"/>
        </w:rPr>
        <w:t xml:space="preserve">. </w:t>
      </w:r>
      <w:r w:rsidRPr="00FB5D69">
        <w:rPr>
          <w:rFonts w:ascii="Times New Roman" w:hAnsi="Times New Roman" w:cs="Times New Roman"/>
          <w:i/>
          <w:iCs/>
          <w:sz w:val="20"/>
          <w:szCs w:val="20"/>
        </w:rPr>
        <w:t xml:space="preserve">European Journal </w:t>
      </w:r>
      <w:proofErr w:type="spellStart"/>
      <w:r w:rsidRPr="00FB5D69">
        <w:rPr>
          <w:rFonts w:ascii="Times New Roman" w:hAnsi="Times New Roman" w:cs="Times New Roman"/>
          <w:i/>
          <w:iCs/>
          <w:sz w:val="20"/>
          <w:szCs w:val="20"/>
        </w:rPr>
        <w:t>Anaesthesiology</w:t>
      </w:r>
      <w:proofErr w:type="spellEnd"/>
      <w:r w:rsidRPr="00FB5D69">
        <w:rPr>
          <w:rFonts w:ascii="Times New Roman" w:hAnsi="Times New Roman" w:cs="Times New Roman"/>
          <w:i/>
          <w:iCs/>
          <w:sz w:val="20"/>
          <w:szCs w:val="20"/>
        </w:rPr>
        <w:t xml:space="preserve">. </w:t>
      </w:r>
      <w:r w:rsidRPr="00FB5D69">
        <w:rPr>
          <w:rFonts w:ascii="Times New Roman" w:hAnsi="Times New Roman" w:cs="Times New Roman"/>
          <w:sz w:val="20"/>
          <w:szCs w:val="20"/>
        </w:rPr>
        <w:t xml:space="preserve">26:123-7. </w:t>
      </w:r>
      <w:r w:rsidR="000B5594">
        <w:rPr>
          <w:rFonts w:ascii="Calibri" w:hAnsi="Calibri" w:cs="Calibri"/>
          <w:sz w:val="20"/>
          <w:szCs w:val="20"/>
        </w:rPr>
        <w:t xml:space="preserve">40 </w:t>
      </w:r>
    </w:p>
    <w:p w:rsidR="000B5594" w:rsidRDefault="000B5594" w:rsidP="000B5594">
      <w:pPr>
        <w:autoSpaceDE w:val="0"/>
        <w:autoSpaceDN w:val="0"/>
        <w:adjustRightInd w:val="0"/>
        <w:spacing w:after="0" w:line="240" w:lineRule="auto"/>
        <w:rPr>
          <w:rFonts w:ascii="Calibri" w:hAnsi="Calibri" w:cs="Calibri"/>
          <w:sz w:val="20"/>
          <w:szCs w:val="20"/>
        </w:rPr>
      </w:pPr>
    </w:p>
    <w:p w:rsidR="00AD11EA" w:rsidRPr="00FB5D69" w:rsidRDefault="00AD11EA" w:rsidP="000B5594">
      <w:pPr>
        <w:autoSpaceDE w:val="0"/>
        <w:autoSpaceDN w:val="0"/>
        <w:adjustRightInd w:val="0"/>
        <w:spacing w:after="0" w:line="240" w:lineRule="auto"/>
        <w:rPr>
          <w:rFonts w:ascii="Times New Roman" w:hAnsi="Times New Roman" w:cs="Times New Roman"/>
          <w:sz w:val="20"/>
          <w:szCs w:val="20"/>
        </w:rPr>
      </w:pPr>
      <w:proofErr w:type="spellStart"/>
      <w:r w:rsidRPr="00FB5D69">
        <w:rPr>
          <w:rFonts w:ascii="Times New Roman" w:hAnsi="Times New Roman" w:cs="Times New Roman"/>
          <w:sz w:val="20"/>
          <w:szCs w:val="20"/>
        </w:rPr>
        <w:t>Janda</w:t>
      </w:r>
      <w:proofErr w:type="spellEnd"/>
      <w:r w:rsidRPr="00FB5D69">
        <w:rPr>
          <w:rFonts w:ascii="Times New Roman" w:hAnsi="Times New Roman" w:cs="Times New Roman"/>
          <w:sz w:val="20"/>
          <w:szCs w:val="20"/>
        </w:rPr>
        <w:t xml:space="preserve"> M., Scheeren T.W. and Noldge-Schomburg G.F. (2006). Management of pulmonary aspiration. Best Res </w:t>
      </w:r>
      <w:proofErr w:type="spellStart"/>
      <w:r w:rsidRPr="00FB5D69">
        <w:rPr>
          <w:rFonts w:ascii="Times New Roman" w:hAnsi="Times New Roman" w:cs="Times New Roman"/>
          <w:sz w:val="20"/>
          <w:szCs w:val="20"/>
        </w:rPr>
        <w:t>Clin</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Anaesthesiol</w:t>
      </w:r>
      <w:proofErr w:type="spellEnd"/>
      <w:r w:rsidRPr="00FB5D69">
        <w:rPr>
          <w:rFonts w:ascii="Times New Roman" w:hAnsi="Times New Roman" w:cs="Times New Roman"/>
          <w:sz w:val="20"/>
          <w:szCs w:val="20"/>
        </w:rPr>
        <w:t xml:space="preserve">. 20:09-27.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Kapadia M., Kulshrestha M., Mathews </w:t>
      </w:r>
      <w:proofErr w:type="spellStart"/>
      <w:r w:rsidRPr="00FB5D69">
        <w:rPr>
          <w:rFonts w:ascii="Times New Roman" w:hAnsi="Times New Roman" w:cs="Times New Roman"/>
          <w:sz w:val="20"/>
          <w:szCs w:val="20"/>
        </w:rPr>
        <w:t>J.J</w:t>
      </w:r>
      <w:proofErr w:type="spellEnd"/>
      <w:r w:rsidRPr="00FB5D69">
        <w:rPr>
          <w:rFonts w:ascii="Times New Roman" w:hAnsi="Times New Roman" w:cs="Times New Roman"/>
          <w:sz w:val="20"/>
          <w:szCs w:val="20"/>
        </w:rPr>
        <w:t xml:space="preserve">., &amp; </w:t>
      </w:r>
      <w:proofErr w:type="spellStart"/>
      <w:r w:rsidRPr="00FB5D69">
        <w:rPr>
          <w:rFonts w:ascii="Times New Roman" w:hAnsi="Times New Roman" w:cs="Times New Roman"/>
          <w:sz w:val="20"/>
          <w:szCs w:val="20"/>
        </w:rPr>
        <w:t>Sanwatsarkar</w:t>
      </w:r>
      <w:proofErr w:type="spellEnd"/>
      <w:r w:rsidRPr="00FB5D69">
        <w:rPr>
          <w:rFonts w:ascii="Times New Roman" w:hAnsi="Times New Roman" w:cs="Times New Roman"/>
          <w:sz w:val="20"/>
          <w:szCs w:val="20"/>
        </w:rPr>
        <w:t xml:space="preserve"> S. (2013). Breaking the midnight fast: An observational cross-sectional audit of preoperative fasting policies and practices at a Tertiary Care Hospital. </w:t>
      </w:r>
      <w:r w:rsidRPr="00FB5D69">
        <w:rPr>
          <w:rFonts w:ascii="Times New Roman" w:hAnsi="Times New Roman" w:cs="Times New Roman"/>
          <w:i/>
          <w:iCs/>
          <w:sz w:val="20"/>
          <w:szCs w:val="20"/>
        </w:rPr>
        <w:t xml:space="preserve">Indian Journal of </w:t>
      </w:r>
      <w:proofErr w:type="spellStart"/>
      <w:r w:rsidRPr="00FB5D69">
        <w:rPr>
          <w:rFonts w:ascii="Times New Roman" w:hAnsi="Times New Roman" w:cs="Times New Roman"/>
          <w:i/>
          <w:iCs/>
          <w:sz w:val="20"/>
          <w:szCs w:val="20"/>
        </w:rPr>
        <w:t>Anaesthesia</w:t>
      </w:r>
      <w:r w:rsidRPr="00FB5D69">
        <w:rPr>
          <w:rFonts w:ascii="Times New Roman" w:hAnsi="Times New Roman" w:cs="Times New Roman"/>
          <w:sz w:val="20"/>
          <w:szCs w:val="20"/>
        </w:rPr>
        <w:t>.Vol</w:t>
      </w:r>
      <w:proofErr w:type="spellEnd"/>
      <w:r w:rsidRPr="00FB5D69">
        <w:rPr>
          <w:rFonts w:ascii="Times New Roman" w:hAnsi="Times New Roman" w:cs="Times New Roman"/>
          <w:sz w:val="20"/>
          <w:szCs w:val="20"/>
        </w:rPr>
        <w:t xml:space="preserve">. 57, No. 4, July-August, 2013, pp. 414-417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Katherine W. (2003). What are the benefits and pitfalls of </w:t>
      </w:r>
      <w:proofErr w:type="spellStart"/>
      <w:r w:rsidRPr="00FB5D69">
        <w:rPr>
          <w:rFonts w:ascii="Times New Roman" w:hAnsi="Times New Roman" w:cs="Times New Roman"/>
          <w:sz w:val="20"/>
          <w:szCs w:val="20"/>
        </w:rPr>
        <w:t>reoperative</w:t>
      </w:r>
      <w:proofErr w:type="spellEnd"/>
      <w:r w:rsidRPr="00FB5D69">
        <w:rPr>
          <w:rFonts w:ascii="Times New Roman" w:hAnsi="Times New Roman" w:cs="Times New Roman"/>
          <w:sz w:val="20"/>
          <w:szCs w:val="20"/>
        </w:rPr>
        <w:t xml:space="preserve"> fasting? </w:t>
      </w:r>
      <w:r w:rsidRPr="00FB5D69">
        <w:rPr>
          <w:rFonts w:ascii="Times New Roman" w:hAnsi="Times New Roman" w:cs="Times New Roman"/>
          <w:i/>
          <w:iCs/>
          <w:sz w:val="20"/>
          <w:szCs w:val="20"/>
        </w:rPr>
        <w:t xml:space="preserve">Nursing Times. </w:t>
      </w:r>
      <w:r w:rsidRPr="00FB5D69">
        <w:rPr>
          <w:rFonts w:ascii="Times New Roman" w:hAnsi="Times New Roman" w:cs="Times New Roman"/>
          <w:sz w:val="20"/>
          <w:szCs w:val="20"/>
        </w:rPr>
        <w:t>Vol</w:t>
      </w:r>
      <w:proofErr w:type="gramStart"/>
      <w:r w:rsidRPr="00FB5D69">
        <w:rPr>
          <w:rFonts w:ascii="Times New Roman" w:hAnsi="Times New Roman" w:cs="Times New Roman"/>
          <w:sz w:val="20"/>
          <w:szCs w:val="20"/>
        </w:rPr>
        <w:t>:99</w:t>
      </w:r>
      <w:proofErr w:type="gramEnd"/>
      <w:r w:rsidRPr="00FB5D69">
        <w:rPr>
          <w:rFonts w:ascii="Times New Roman" w:hAnsi="Times New Roman" w:cs="Times New Roman"/>
          <w:sz w:val="20"/>
          <w:szCs w:val="20"/>
        </w:rPr>
        <w:t xml:space="preserve">, issue:50, no:32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Levy D. M., &amp; Webster V.L. (2004). Unrestricted sip of water before cesarean section. </w:t>
      </w:r>
      <w:r w:rsidRPr="00FB5D69">
        <w:rPr>
          <w:rFonts w:ascii="Times New Roman" w:hAnsi="Times New Roman" w:cs="Times New Roman"/>
          <w:i/>
          <w:iCs/>
          <w:sz w:val="20"/>
          <w:szCs w:val="20"/>
        </w:rPr>
        <w:t>British Journal of Anesthesia. Http:</w:t>
      </w:r>
      <w:r w:rsidRPr="00FB5D69">
        <w:rPr>
          <w:rFonts w:ascii="Times New Roman" w:hAnsi="Times New Roman" w:cs="Times New Roman"/>
          <w:sz w:val="20"/>
          <w:szCs w:val="20"/>
        </w:rPr>
        <w:t xml:space="preserve">doi.org/10.1093/bja/aeh565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Ljungqvist O., &amp; </w:t>
      </w:r>
      <w:proofErr w:type="spellStart"/>
      <w:r w:rsidRPr="00FB5D69">
        <w:rPr>
          <w:rFonts w:ascii="Times New Roman" w:hAnsi="Times New Roman" w:cs="Times New Roman"/>
          <w:sz w:val="20"/>
          <w:szCs w:val="20"/>
        </w:rPr>
        <w:t>Soreide</w:t>
      </w:r>
      <w:proofErr w:type="spellEnd"/>
      <w:r w:rsidRPr="00FB5D69">
        <w:rPr>
          <w:rFonts w:ascii="Times New Roman" w:hAnsi="Times New Roman" w:cs="Times New Roman"/>
          <w:sz w:val="20"/>
          <w:szCs w:val="20"/>
        </w:rPr>
        <w:t xml:space="preserve"> E. (2003). Preoperative fasting. </w:t>
      </w:r>
      <w:r w:rsidRPr="00FB5D69">
        <w:rPr>
          <w:rFonts w:ascii="Times New Roman" w:hAnsi="Times New Roman" w:cs="Times New Roman"/>
          <w:i/>
          <w:iCs/>
          <w:sz w:val="20"/>
          <w:szCs w:val="20"/>
        </w:rPr>
        <w:t>British Journal of Surgery</w:t>
      </w:r>
      <w:r w:rsidRPr="00FB5D69">
        <w:rPr>
          <w:rFonts w:ascii="Times New Roman" w:hAnsi="Times New Roman" w:cs="Times New Roman"/>
          <w:sz w:val="20"/>
          <w:szCs w:val="20"/>
        </w:rPr>
        <w:t xml:space="preserve">. 90:400–6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Lopez A.C., Tomas Braulio J., &amp; Montero Benzo R. (2002). Preoperative fasting regimens and premedication to reduce the risk of pulmonary aspiration. Rev ESP </w:t>
      </w:r>
      <w:proofErr w:type="spellStart"/>
      <w:r w:rsidRPr="00FB5D69">
        <w:rPr>
          <w:rFonts w:ascii="Times New Roman" w:hAnsi="Times New Roman" w:cs="Times New Roman"/>
          <w:sz w:val="20"/>
          <w:szCs w:val="20"/>
        </w:rPr>
        <w:t>Anestesiol</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Reanim</w:t>
      </w:r>
      <w:proofErr w:type="spellEnd"/>
      <w:r w:rsidRPr="00FB5D69">
        <w:rPr>
          <w:rFonts w:ascii="Times New Roman" w:hAnsi="Times New Roman" w:cs="Times New Roman"/>
          <w:sz w:val="20"/>
          <w:szCs w:val="20"/>
        </w:rPr>
        <w:t xml:space="preserve">. 49:314-23.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Ludwig </w:t>
      </w:r>
      <w:proofErr w:type="spellStart"/>
      <w:r w:rsidRPr="00FB5D69">
        <w:rPr>
          <w:rFonts w:ascii="Times New Roman" w:hAnsi="Times New Roman" w:cs="Times New Roman"/>
          <w:sz w:val="20"/>
          <w:szCs w:val="20"/>
        </w:rPr>
        <w:t>R.B</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Paludo</w:t>
      </w:r>
      <w:proofErr w:type="spellEnd"/>
      <w:r w:rsidRPr="00FB5D69">
        <w:rPr>
          <w:rFonts w:ascii="Times New Roman" w:hAnsi="Times New Roman" w:cs="Times New Roman"/>
          <w:sz w:val="20"/>
          <w:szCs w:val="20"/>
        </w:rPr>
        <w:t xml:space="preserve"> J., </w:t>
      </w:r>
      <w:proofErr w:type="spellStart"/>
      <w:r w:rsidRPr="00FB5D69">
        <w:rPr>
          <w:rFonts w:ascii="Times New Roman" w:hAnsi="Times New Roman" w:cs="Times New Roman"/>
          <w:sz w:val="20"/>
          <w:szCs w:val="20"/>
        </w:rPr>
        <w:t>Fernandes</w:t>
      </w:r>
      <w:proofErr w:type="spellEnd"/>
      <w:r w:rsidRPr="00FB5D69">
        <w:rPr>
          <w:rFonts w:ascii="Times New Roman" w:hAnsi="Times New Roman" w:cs="Times New Roman"/>
          <w:sz w:val="20"/>
          <w:szCs w:val="20"/>
        </w:rPr>
        <w:t xml:space="preserve"> D., &amp; Scherer F., (2013). Lesser time of preoperative fasting and early postoperative feeding are safe. </w:t>
      </w:r>
      <w:proofErr w:type="spellStart"/>
      <w:r w:rsidRPr="00FB5D69">
        <w:rPr>
          <w:rFonts w:ascii="Times New Roman" w:hAnsi="Times New Roman" w:cs="Times New Roman"/>
          <w:sz w:val="20"/>
          <w:szCs w:val="20"/>
        </w:rPr>
        <w:t>Arq</w:t>
      </w:r>
      <w:proofErr w:type="spellEnd"/>
      <w:r w:rsidRPr="00FB5D69">
        <w:rPr>
          <w:rFonts w:ascii="Times New Roman" w:hAnsi="Times New Roman" w:cs="Times New Roman"/>
          <w:sz w:val="20"/>
          <w:szCs w:val="20"/>
        </w:rPr>
        <w:t xml:space="preserve"> Bras Cir Dig. 26(1), 54-58.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Macdonald S., &amp; Magil C.J. (2011) 14th ed. London: </w:t>
      </w:r>
      <w:proofErr w:type="spellStart"/>
      <w:r w:rsidRPr="00FB5D69">
        <w:rPr>
          <w:rFonts w:ascii="Times New Roman" w:hAnsi="Times New Roman" w:cs="Times New Roman"/>
          <w:sz w:val="20"/>
          <w:szCs w:val="20"/>
        </w:rPr>
        <w:t>Bailliere</w:t>
      </w:r>
      <w:proofErr w:type="spellEnd"/>
      <w:r w:rsidRPr="00FB5D69">
        <w:rPr>
          <w:rFonts w:ascii="Times New Roman" w:hAnsi="Times New Roman" w:cs="Times New Roman"/>
          <w:sz w:val="20"/>
          <w:szCs w:val="20"/>
        </w:rPr>
        <w:t xml:space="preserve"> Tindall; </w:t>
      </w:r>
      <w:proofErr w:type="spellStart"/>
      <w:r w:rsidRPr="00FB5D69">
        <w:rPr>
          <w:rFonts w:ascii="Times New Roman" w:hAnsi="Times New Roman" w:cs="Times New Roman"/>
          <w:sz w:val="20"/>
          <w:szCs w:val="20"/>
        </w:rPr>
        <w:t>mayes</w:t>
      </w:r>
      <w:proofErr w:type="spellEnd"/>
      <w:r w:rsidRPr="00FB5D69">
        <w:rPr>
          <w:rFonts w:ascii="Times New Roman" w:hAnsi="Times New Roman" w:cs="Times New Roman"/>
          <w:sz w:val="20"/>
          <w:szCs w:val="20"/>
        </w:rPr>
        <w:t xml:space="preserve"> midwifery. A textbook for midwives.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 xml:space="preserve">Maltby R. (2000). Preoperative fasting guidelines. </w:t>
      </w:r>
      <w:r w:rsidRPr="00FB5D69">
        <w:rPr>
          <w:rFonts w:ascii="Times New Roman" w:hAnsi="Times New Roman" w:cs="Times New Roman"/>
          <w:i/>
          <w:iCs/>
          <w:sz w:val="20"/>
          <w:szCs w:val="20"/>
        </w:rPr>
        <w:t xml:space="preserve">Update in Anesthesia. </w:t>
      </w:r>
      <w:r w:rsidRPr="00FB5D69">
        <w:rPr>
          <w:rFonts w:ascii="Calibri" w:hAnsi="Calibri" w:cs="Calibri"/>
          <w:i/>
          <w:iCs/>
          <w:sz w:val="20"/>
          <w:szCs w:val="20"/>
        </w:rPr>
        <w:t>Journal of Anesthesia in developing countries: Vol</w:t>
      </w:r>
      <w:proofErr w:type="gramStart"/>
      <w:r w:rsidRPr="00FB5D69">
        <w:rPr>
          <w:rFonts w:ascii="Calibri" w:hAnsi="Calibri" w:cs="Calibri"/>
          <w:i/>
          <w:iCs/>
          <w:sz w:val="20"/>
          <w:szCs w:val="20"/>
        </w:rPr>
        <w:t>:</w:t>
      </w:r>
      <w:r w:rsidRPr="00FB5D69">
        <w:rPr>
          <w:rFonts w:ascii="Times New Roman" w:hAnsi="Times New Roman" w:cs="Times New Roman"/>
          <w:sz w:val="20"/>
          <w:szCs w:val="20"/>
        </w:rPr>
        <w:t>12</w:t>
      </w:r>
      <w:proofErr w:type="gramEnd"/>
      <w:r w:rsidRPr="00FB5D69">
        <w:rPr>
          <w:rFonts w:ascii="Times New Roman" w:hAnsi="Times New Roman" w:cs="Times New Roman"/>
          <w:sz w:val="20"/>
          <w:szCs w:val="20"/>
        </w:rPr>
        <w:t xml:space="preserve">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0B5594" w:rsidRDefault="00AD11EA" w:rsidP="000B5594">
      <w:pPr>
        <w:autoSpaceDE w:val="0"/>
        <w:autoSpaceDN w:val="0"/>
        <w:adjustRightInd w:val="0"/>
        <w:spacing w:after="0" w:line="240" w:lineRule="auto"/>
        <w:rPr>
          <w:rFonts w:ascii="Calibri" w:hAnsi="Calibri" w:cs="Calibri"/>
          <w:sz w:val="20"/>
          <w:szCs w:val="20"/>
        </w:rPr>
      </w:pPr>
      <w:r w:rsidRPr="00FB5D69">
        <w:rPr>
          <w:rFonts w:ascii="Times New Roman" w:hAnsi="Times New Roman" w:cs="Times New Roman"/>
          <w:sz w:val="20"/>
          <w:szCs w:val="20"/>
        </w:rPr>
        <w:t>Mackenzie M., Yentis S., Woolnough M., &amp; Johnson M</w:t>
      </w:r>
      <w:proofErr w:type="gramStart"/>
      <w:r w:rsidRPr="00FB5D69">
        <w:rPr>
          <w:rFonts w:ascii="Times New Roman" w:hAnsi="Times New Roman" w:cs="Times New Roman"/>
          <w:sz w:val="20"/>
          <w:szCs w:val="20"/>
        </w:rPr>
        <w:t>.(</w:t>
      </w:r>
      <w:proofErr w:type="gramEnd"/>
      <w:r w:rsidRPr="00FB5D69">
        <w:rPr>
          <w:rFonts w:ascii="Times New Roman" w:hAnsi="Times New Roman" w:cs="Times New Roman"/>
          <w:sz w:val="20"/>
          <w:szCs w:val="20"/>
        </w:rPr>
        <w:t xml:space="preserve">2010). Fasting periods and dehydration before elective cesarean section. </w:t>
      </w:r>
      <w:r w:rsidRPr="00FB5D69">
        <w:rPr>
          <w:rFonts w:ascii="Times New Roman" w:hAnsi="Times New Roman" w:cs="Times New Roman"/>
          <w:i/>
          <w:iCs/>
          <w:sz w:val="20"/>
          <w:szCs w:val="20"/>
        </w:rPr>
        <w:t>Journal of the association of Anesthetists of Great Britain and Ireland.</w:t>
      </w:r>
      <w:r w:rsidRPr="00FB5D69">
        <w:rPr>
          <w:rFonts w:ascii="Times New Roman" w:hAnsi="Times New Roman" w:cs="Times New Roman"/>
          <w:sz w:val="20"/>
          <w:szCs w:val="20"/>
        </w:rPr>
        <w:t xml:space="preserve">85:94-113 </w:t>
      </w:r>
      <w:r w:rsidRPr="00FB5D69">
        <w:rPr>
          <w:rFonts w:ascii="Calibri" w:hAnsi="Calibri" w:cs="Calibri"/>
          <w:sz w:val="20"/>
          <w:szCs w:val="20"/>
        </w:rPr>
        <w:t xml:space="preserve">41 </w:t>
      </w:r>
    </w:p>
    <w:p w:rsidR="000B5594" w:rsidRDefault="000B5594" w:rsidP="000B5594">
      <w:pPr>
        <w:autoSpaceDE w:val="0"/>
        <w:autoSpaceDN w:val="0"/>
        <w:adjustRightInd w:val="0"/>
        <w:spacing w:after="0" w:line="240" w:lineRule="auto"/>
        <w:rPr>
          <w:rFonts w:ascii="Calibri" w:hAnsi="Calibri" w:cs="Calibri"/>
          <w:sz w:val="20"/>
          <w:szCs w:val="20"/>
        </w:rPr>
      </w:pPr>
    </w:p>
    <w:p w:rsidR="00AD11EA" w:rsidRPr="00FB5D69" w:rsidRDefault="00AD11EA" w:rsidP="000B5594">
      <w:pPr>
        <w:autoSpaceDE w:val="0"/>
        <w:autoSpaceDN w:val="0"/>
        <w:adjustRightInd w:val="0"/>
        <w:spacing w:after="0" w:line="240" w:lineRule="auto"/>
        <w:rPr>
          <w:rFonts w:ascii="Times New Roman" w:hAnsi="Times New Roman" w:cs="Times New Roman"/>
          <w:sz w:val="20"/>
          <w:szCs w:val="20"/>
        </w:rPr>
      </w:pPr>
      <w:proofErr w:type="spellStart"/>
      <w:r w:rsidRPr="00FB5D69">
        <w:rPr>
          <w:rFonts w:ascii="Times New Roman" w:hAnsi="Times New Roman" w:cs="Times New Roman"/>
          <w:sz w:val="20"/>
          <w:szCs w:val="20"/>
        </w:rPr>
        <w:t>Manchikanti</w:t>
      </w:r>
      <w:proofErr w:type="spellEnd"/>
      <w:r w:rsidRPr="00FB5D69">
        <w:rPr>
          <w:rFonts w:ascii="Times New Roman" w:hAnsi="Times New Roman" w:cs="Times New Roman"/>
          <w:sz w:val="20"/>
          <w:szCs w:val="20"/>
        </w:rPr>
        <w:t xml:space="preserve"> L, et al. (2011) Preoperative fasting before interventional techniques: is it necessary or evidence-based? Pain Physician.14 (5):459-67.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roofErr w:type="spellStart"/>
      <w:r w:rsidRPr="00FB5D69">
        <w:rPr>
          <w:rFonts w:ascii="Times New Roman" w:hAnsi="Times New Roman" w:cs="Times New Roman"/>
          <w:sz w:val="20"/>
          <w:szCs w:val="20"/>
        </w:rPr>
        <w:t>Pexe</w:t>
      </w:r>
      <w:proofErr w:type="spellEnd"/>
      <w:r w:rsidRPr="00FB5D69">
        <w:rPr>
          <w:rFonts w:ascii="Times New Roman" w:hAnsi="Times New Roman" w:cs="Times New Roman"/>
          <w:sz w:val="20"/>
          <w:szCs w:val="20"/>
        </w:rPr>
        <w:t xml:space="preserve">-Machado P.A., de Oliveira </w:t>
      </w:r>
      <w:proofErr w:type="spellStart"/>
      <w:r w:rsidRPr="00FB5D69">
        <w:rPr>
          <w:rFonts w:ascii="Times New Roman" w:hAnsi="Times New Roman" w:cs="Times New Roman"/>
          <w:sz w:val="20"/>
          <w:szCs w:val="20"/>
        </w:rPr>
        <w:t>B.D</w:t>
      </w:r>
      <w:proofErr w:type="spellEnd"/>
      <w:r w:rsidRPr="00FB5D69">
        <w:rPr>
          <w:rFonts w:ascii="Times New Roman" w:hAnsi="Times New Roman" w:cs="Times New Roman"/>
          <w:sz w:val="20"/>
          <w:szCs w:val="20"/>
        </w:rPr>
        <w:t>., Dock-</w:t>
      </w:r>
      <w:proofErr w:type="spellStart"/>
      <w:r w:rsidRPr="00FB5D69">
        <w:rPr>
          <w:rFonts w:ascii="Times New Roman" w:hAnsi="Times New Roman" w:cs="Times New Roman"/>
          <w:sz w:val="20"/>
          <w:szCs w:val="20"/>
        </w:rPr>
        <w:t>Nascimento</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D.B</w:t>
      </w:r>
      <w:proofErr w:type="spellEnd"/>
      <w:r w:rsidRPr="00FB5D69">
        <w:rPr>
          <w:rFonts w:ascii="Times New Roman" w:hAnsi="Times New Roman" w:cs="Times New Roman"/>
          <w:sz w:val="20"/>
          <w:szCs w:val="20"/>
        </w:rPr>
        <w:t>. &amp; de Aguilar-</w:t>
      </w:r>
      <w:proofErr w:type="spellStart"/>
      <w:r w:rsidRPr="00FB5D69">
        <w:rPr>
          <w:rFonts w:ascii="Times New Roman" w:hAnsi="Times New Roman" w:cs="Times New Roman"/>
          <w:sz w:val="20"/>
          <w:szCs w:val="20"/>
        </w:rPr>
        <w:t>Nascimento</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J.E</w:t>
      </w:r>
      <w:proofErr w:type="spellEnd"/>
      <w:r w:rsidRPr="00FB5D69">
        <w:rPr>
          <w:rFonts w:ascii="Times New Roman" w:hAnsi="Times New Roman" w:cs="Times New Roman"/>
          <w:sz w:val="20"/>
          <w:szCs w:val="20"/>
        </w:rPr>
        <w:t xml:space="preserve">. (2013). Shrinking preoperative fast time with </w:t>
      </w:r>
      <w:proofErr w:type="spellStart"/>
      <w:r w:rsidRPr="00FB5D69">
        <w:rPr>
          <w:rFonts w:ascii="Times New Roman" w:hAnsi="Times New Roman" w:cs="Times New Roman"/>
          <w:sz w:val="20"/>
          <w:szCs w:val="20"/>
        </w:rPr>
        <w:t>maltodextrin</w:t>
      </w:r>
      <w:proofErr w:type="spellEnd"/>
      <w:r w:rsidRPr="00FB5D69">
        <w:rPr>
          <w:rFonts w:ascii="Times New Roman" w:hAnsi="Times New Roman" w:cs="Times New Roman"/>
          <w:sz w:val="20"/>
          <w:szCs w:val="20"/>
        </w:rPr>
        <w:t xml:space="preserve"> and protein hydrolysate in gastrointestinal resections due to cancer. </w:t>
      </w:r>
      <w:r w:rsidRPr="00FB5D69">
        <w:rPr>
          <w:rFonts w:ascii="Times New Roman" w:hAnsi="Times New Roman" w:cs="Times New Roman"/>
          <w:i/>
          <w:iCs/>
          <w:sz w:val="20"/>
          <w:szCs w:val="20"/>
        </w:rPr>
        <w:t>Nutrition</w:t>
      </w:r>
      <w:r w:rsidRPr="00FB5D69">
        <w:rPr>
          <w:rFonts w:ascii="Times New Roman" w:hAnsi="Times New Roman" w:cs="Times New Roman"/>
          <w:sz w:val="20"/>
          <w:szCs w:val="20"/>
        </w:rPr>
        <w:t xml:space="preserve">. 29, 1054–1059.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roofErr w:type="spellStart"/>
      <w:r w:rsidRPr="00FB5D69">
        <w:rPr>
          <w:rFonts w:ascii="Times New Roman" w:hAnsi="Times New Roman" w:cs="Times New Roman"/>
          <w:sz w:val="20"/>
          <w:szCs w:val="20"/>
        </w:rPr>
        <w:t>Protic</w:t>
      </w:r>
      <w:proofErr w:type="spellEnd"/>
      <w:r w:rsidRPr="00FB5D69">
        <w:rPr>
          <w:rFonts w:ascii="Times New Roman" w:hAnsi="Times New Roman" w:cs="Times New Roman"/>
          <w:sz w:val="20"/>
          <w:szCs w:val="20"/>
        </w:rPr>
        <w:t xml:space="preserve"> A., </w:t>
      </w:r>
      <w:proofErr w:type="spellStart"/>
      <w:r w:rsidRPr="00FB5D69">
        <w:rPr>
          <w:rFonts w:ascii="Times New Roman" w:hAnsi="Times New Roman" w:cs="Times New Roman"/>
          <w:sz w:val="20"/>
          <w:szCs w:val="20"/>
        </w:rPr>
        <w:t>Turina</w:t>
      </w:r>
      <w:proofErr w:type="spellEnd"/>
      <w:r w:rsidRPr="00FB5D69">
        <w:rPr>
          <w:rFonts w:ascii="Times New Roman" w:hAnsi="Times New Roman" w:cs="Times New Roman"/>
          <w:sz w:val="20"/>
          <w:szCs w:val="20"/>
        </w:rPr>
        <w:t xml:space="preserve">, D., &amp; </w:t>
      </w:r>
      <w:proofErr w:type="spellStart"/>
      <w:r w:rsidRPr="00FB5D69">
        <w:rPr>
          <w:rFonts w:ascii="Times New Roman" w:hAnsi="Times New Roman" w:cs="Times New Roman"/>
          <w:sz w:val="20"/>
          <w:szCs w:val="20"/>
        </w:rPr>
        <w:t>Matanic</w:t>
      </w:r>
      <w:proofErr w:type="spellEnd"/>
      <w:r w:rsidRPr="00FB5D69">
        <w:rPr>
          <w:rFonts w:ascii="Times New Roman" w:hAnsi="Times New Roman" w:cs="Times New Roman"/>
          <w:sz w:val="20"/>
          <w:szCs w:val="20"/>
        </w:rPr>
        <w:t>, D., (2010). Effect of preoperative feeding on gastric emptying following spinal anesthesia: a randomized controlled trial</w:t>
      </w:r>
      <w:r w:rsidRPr="00FB5D69">
        <w:rPr>
          <w:rFonts w:ascii="Times New Roman" w:hAnsi="Times New Roman" w:cs="Times New Roman"/>
          <w:i/>
          <w:iCs/>
          <w:sz w:val="20"/>
          <w:szCs w:val="20"/>
        </w:rPr>
        <w:t xml:space="preserve">. </w:t>
      </w:r>
      <w:r w:rsidRPr="00FB5D69">
        <w:rPr>
          <w:rFonts w:ascii="Times New Roman" w:hAnsi="Times New Roman" w:cs="Times New Roman"/>
          <w:sz w:val="20"/>
          <w:szCs w:val="20"/>
        </w:rPr>
        <w:t xml:space="preserve">German. 122, 50–53.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roofErr w:type="spellStart"/>
      <w:r w:rsidRPr="00FB5D69">
        <w:rPr>
          <w:rFonts w:ascii="Times New Roman" w:hAnsi="Times New Roman" w:cs="Times New Roman"/>
          <w:sz w:val="20"/>
          <w:szCs w:val="20"/>
        </w:rPr>
        <w:t>Raidoo</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D.M</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Rocke</w:t>
      </w:r>
      <w:proofErr w:type="spellEnd"/>
      <w:r w:rsidRPr="00FB5D69">
        <w:rPr>
          <w:rFonts w:ascii="Times New Roman" w:hAnsi="Times New Roman" w:cs="Times New Roman"/>
          <w:sz w:val="20"/>
          <w:szCs w:val="20"/>
        </w:rPr>
        <w:t xml:space="preserve"> D.A., Brock-</w:t>
      </w:r>
      <w:proofErr w:type="spellStart"/>
      <w:r w:rsidRPr="00FB5D69">
        <w:rPr>
          <w:rFonts w:ascii="Times New Roman" w:hAnsi="Times New Roman" w:cs="Times New Roman"/>
          <w:sz w:val="20"/>
          <w:szCs w:val="20"/>
        </w:rPr>
        <w:t>Utne</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J.G</w:t>
      </w:r>
      <w:proofErr w:type="spellEnd"/>
      <w:r w:rsidRPr="00FB5D69">
        <w:rPr>
          <w:rFonts w:ascii="Times New Roman" w:hAnsi="Times New Roman" w:cs="Times New Roman"/>
          <w:sz w:val="20"/>
          <w:szCs w:val="20"/>
        </w:rPr>
        <w:t xml:space="preserve">., </w:t>
      </w:r>
      <w:proofErr w:type="spellStart"/>
      <w:r w:rsidRPr="00FB5D69">
        <w:rPr>
          <w:rFonts w:ascii="Times New Roman" w:hAnsi="Times New Roman" w:cs="Times New Roman"/>
          <w:sz w:val="20"/>
          <w:szCs w:val="20"/>
        </w:rPr>
        <w:t>Marszalek</w:t>
      </w:r>
      <w:proofErr w:type="spellEnd"/>
      <w:r w:rsidRPr="00FB5D69">
        <w:rPr>
          <w:rFonts w:ascii="Times New Roman" w:hAnsi="Times New Roman" w:cs="Times New Roman"/>
          <w:sz w:val="20"/>
          <w:szCs w:val="20"/>
        </w:rPr>
        <w:t xml:space="preserve"> A., &amp; </w:t>
      </w:r>
      <w:proofErr w:type="spellStart"/>
      <w:r w:rsidRPr="00FB5D69">
        <w:rPr>
          <w:rFonts w:ascii="Times New Roman" w:hAnsi="Times New Roman" w:cs="Times New Roman"/>
          <w:sz w:val="20"/>
          <w:szCs w:val="20"/>
        </w:rPr>
        <w:t>Engelrecht</w:t>
      </w:r>
      <w:proofErr w:type="spellEnd"/>
      <w:r w:rsidRPr="00FB5D69">
        <w:rPr>
          <w:rFonts w:ascii="Times New Roman" w:hAnsi="Times New Roman" w:cs="Times New Roman"/>
          <w:sz w:val="20"/>
          <w:szCs w:val="20"/>
        </w:rPr>
        <w:t xml:space="preserve">, H.E. Critical volume for pulmonary acid aspiration: reappraisal in a primate model. </w:t>
      </w:r>
      <w:r w:rsidRPr="00FB5D69">
        <w:rPr>
          <w:rFonts w:ascii="Times New Roman" w:hAnsi="Times New Roman" w:cs="Times New Roman"/>
          <w:i/>
          <w:iCs/>
          <w:sz w:val="20"/>
          <w:szCs w:val="20"/>
        </w:rPr>
        <w:t xml:space="preserve">British Journal of Anaesthesia </w:t>
      </w:r>
      <w:r w:rsidRPr="00FB5D69">
        <w:rPr>
          <w:rFonts w:ascii="Times New Roman" w:hAnsi="Times New Roman" w:cs="Times New Roman"/>
          <w:sz w:val="20"/>
          <w:szCs w:val="20"/>
        </w:rPr>
        <w:t xml:space="preserve">1990; 65: 248-50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Scarlett M., Crawford-</w:t>
      </w:r>
      <w:proofErr w:type="spellStart"/>
      <w:r w:rsidRPr="00FB5D69">
        <w:rPr>
          <w:rFonts w:ascii="Times New Roman" w:hAnsi="Times New Roman" w:cs="Times New Roman"/>
          <w:sz w:val="20"/>
          <w:szCs w:val="20"/>
        </w:rPr>
        <w:t>sykes</w:t>
      </w:r>
      <w:proofErr w:type="spellEnd"/>
      <w:r w:rsidRPr="00FB5D69">
        <w:rPr>
          <w:rFonts w:ascii="Times New Roman" w:hAnsi="Times New Roman" w:cs="Times New Roman"/>
          <w:sz w:val="20"/>
          <w:szCs w:val="20"/>
        </w:rPr>
        <w:t xml:space="preserve"> A., &amp; Nelson M. (2002). Preoperative starvation and pulmonary aspiration. New perspectives and guidelines. </w:t>
      </w:r>
      <w:r w:rsidRPr="00FB5D69">
        <w:rPr>
          <w:rFonts w:ascii="Times New Roman" w:hAnsi="Times New Roman" w:cs="Times New Roman"/>
          <w:i/>
          <w:iCs/>
          <w:sz w:val="20"/>
          <w:szCs w:val="20"/>
        </w:rPr>
        <w:t xml:space="preserve">West Indian medical </w:t>
      </w:r>
      <w:proofErr w:type="gramStart"/>
      <w:r w:rsidRPr="00FB5D69">
        <w:rPr>
          <w:rFonts w:ascii="Times New Roman" w:hAnsi="Times New Roman" w:cs="Times New Roman"/>
          <w:i/>
          <w:iCs/>
          <w:sz w:val="20"/>
          <w:szCs w:val="20"/>
        </w:rPr>
        <w:t>Journal.,</w:t>
      </w:r>
      <w:proofErr w:type="gramEnd"/>
      <w:r w:rsidRPr="00FB5D69">
        <w:rPr>
          <w:rFonts w:ascii="Times New Roman" w:hAnsi="Times New Roman" w:cs="Times New Roman"/>
          <w:i/>
          <w:iCs/>
          <w:sz w:val="20"/>
          <w:szCs w:val="20"/>
        </w:rPr>
        <w:t xml:space="preserve"> </w:t>
      </w:r>
      <w:r w:rsidRPr="00FB5D69">
        <w:rPr>
          <w:rFonts w:ascii="Times New Roman" w:hAnsi="Times New Roman" w:cs="Times New Roman"/>
          <w:sz w:val="20"/>
          <w:szCs w:val="20"/>
        </w:rPr>
        <w:t xml:space="preserve">51:241-5.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lastRenderedPageBreak/>
        <w:t>Tudor G., (2006). Fasting: how long is too long</w:t>
      </w:r>
      <w:r w:rsidRPr="00FB5D69">
        <w:rPr>
          <w:rFonts w:ascii="Times New Roman" w:hAnsi="Times New Roman" w:cs="Times New Roman"/>
          <w:i/>
          <w:iCs/>
          <w:sz w:val="20"/>
          <w:szCs w:val="20"/>
        </w:rPr>
        <w:t xml:space="preserve">. Australian Nursing Journal. </w:t>
      </w:r>
      <w:r w:rsidRPr="00FB5D69">
        <w:rPr>
          <w:rFonts w:ascii="Times New Roman" w:hAnsi="Times New Roman" w:cs="Times New Roman"/>
          <w:sz w:val="20"/>
          <w:szCs w:val="20"/>
        </w:rPr>
        <w:t xml:space="preserve">13(7), 29-31. </w:t>
      </w: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p>
    <w:p w:rsidR="00AD11EA" w:rsidRPr="00FB5D69" w:rsidRDefault="00AD11EA" w:rsidP="00AD11EA">
      <w:pPr>
        <w:autoSpaceDE w:val="0"/>
        <w:autoSpaceDN w:val="0"/>
        <w:adjustRightInd w:val="0"/>
        <w:spacing w:after="0" w:line="240" w:lineRule="auto"/>
        <w:rPr>
          <w:rFonts w:ascii="Times New Roman" w:hAnsi="Times New Roman" w:cs="Times New Roman"/>
          <w:sz w:val="20"/>
          <w:szCs w:val="20"/>
        </w:rPr>
      </w:pPr>
      <w:r w:rsidRPr="00FB5D69">
        <w:rPr>
          <w:rFonts w:ascii="Times New Roman" w:hAnsi="Times New Roman" w:cs="Times New Roman"/>
          <w:sz w:val="20"/>
          <w:szCs w:val="20"/>
        </w:rPr>
        <w:t>Warner M.A., Caplan R.A., Epstein, B.S. (1999). Task Force on preoperative fasting. Practice guidelines for preoperative fasting and the use of pharmacologic agents to reduce the risk of pulmonary aspiration: Application to healthy patients undergoing elective procedures</w:t>
      </w:r>
      <w:r w:rsidRPr="00FB5D69">
        <w:rPr>
          <w:rFonts w:ascii="Times New Roman" w:hAnsi="Times New Roman" w:cs="Times New Roman"/>
          <w:i/>
          <w:iCs/>
          <w:sz w:val="20"/>
          <w:szCs w:val="20"/>
        </w:rPr>
        <w:t>: A report by the American Society of Anesthesiologist Task Force on Preoperative Fasting</w:t>
      </w:r>
      <w:r w:rsidRPr="00FB5D69">
        <w:rPr>
          <w:rFonts w:ascii="Times New Roman" w:hAnsi="Times New Roman" w:cs="Times New Roman"/>
          <w:sz w:val="20"/>
          <w:szCs w:val="20"/>
        </w:rPr>
        <w:t xml:space="preserve">. Anesthesiology; 90: 896–905. </w:t>
      </w:r>
    </w:p>
    <w:p w:rsidR="00AD11EA" w:rsidRPr="00FB5D69" w:rsidRDefault="00AD11EA" w:rsidP="00AD11EA">
      <w:pPr>
        <w:pStyle w:val="Default"/>
        <w:jc w:val="both"/>
        <w:rPr>
          <w:color w:val="auto"/>
          <w:sz w:val="20"/>
          <w:szCs w:val="20"/>
        </w:rPr>
      </w:pPr>
    </w:p>
    <w:p w:rsidR="00AD11EA" w:rsidRPr="00FB5D69" w:rsidRDefault="00AD11EA" w:rsidP="00AD11EA">
      <w:pPr>
        <w:pStyle w:val="Default"/>
        <w:jc w:val="both"/>
        <w:rPr>
          <w:sz w:val="20"/>
          <w:szCs w:val="20"/>
        </w:rPr>
      </w:pPr>
      <w:proofErr w:type="spellStart"/>
      <w:r w:rsidRPr="00FB5D69">
        <w:rPr>
          <w:color w:val="auto"/>
          <w:sz w:val="20"/>
          <w:szCs w:val="20"/>
        </w:rPr>
        <w:t>Yagci</w:t>
      </w:r>
      <w:proofErr w:type="spellEnd"/>
      <w:r w:rsidRPr="00FB5D69">
        <w:rPr>
          <w:color w:val="auto"/>
          <w:sz w:val="20"/>
          <w:szCs w:val="20"/>
        </w:rPr>
        <w:t xml:space="preserve"> G., Can </w:t>
      </w:r>
      <w:proofErr w:type="spellStart"/>
      <w:r w:rsidRPr="00FB5D69">
        <w:rPr>
          <w:color w:val="auto"/>
          <w:sz w:val="20"/>
          <w:szCs w:val="20"/>
        </w:rPr>
        <w:t>M.F</w:t>
      </w:r>
      <w:proofErr w:type="spellEnd"/>
      <w:r w:rsidRPr="00FB5D69">
        <w:rPr>
          <w:color w:val="auto"/>
          <w:sz w:val="20"/>
          <w:szCs w:val="20"/>
        </w:rPr>
        <w:t xml:space="preserve">., </w:t>
      </w:r>
      <w:proofErr w:type="spellStart"/>
      <w:r w:rsidRPr="00FB5D69">
        <w:rPr>
          <w:color w:val="auto"/>
          <w:sz w:val="20"/>
          <w:szCs w:val="20"/>
        </w:rPr>
        <w:t>Ozturk</w:t>
      </w:r>
      <w:proofErr w:type="spellEnd"/>
      <w:r w:rsidRPr="00FB5D69">
        <w:rPr>
          <w:color w:val="auto"/>
          <w:sz w:val="20"/>
          <w:szCs w:val="20"/>
        </w:rPr>
        <w:t xml:space="preserve"> E. (2008)</w:t>
      </w:r>
      <w:r w:rsidRPr="00FB5D69">
        <w:rPr>
          <w:i/>
          <w:iCs/>
          <w:color w:val="auto"/>
          <w:sz w:val="20"/>
          <w:szCs w:val="20"/>
        </w:rPr>
        <w:t xml:space="preserve">. </w:t>
      </w:r>
      <w:r w:rsidRPr="00FB5D69">
        <w:rPr>
          <w:color w:val="auto"/>
          <w:sz w:val="20"/>
          <w:szCs w:val="20"/>
        </w:rPr>
        <w:t>Effects of preoperative carbohydrate loading on glucose metabolism and gastric contents in patients undergoing moderate surgery: A randomized, controlled trial. Nutrition. 24(3), 212–216</w:t>
      </w:r>
    </w:p>
    <w:sectPr w:rsidR="00AD11EA" w:rsidRPr="00FB5D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3080D"/>
    <w:multiLevelType w:val="hybridMultilevel"/>
    <w:tmpl w:val="C270C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9A6"/>
    <w:rsid w:val="00044BEE"/>
    <w:rsid w:val="000627E5"/>
    <w:rsid w:val="0009312B"/>
    <w:rsid w:val="000B5594"/>
    <w:rsid w:val="001453EE"/>
    <w:rsid w:val="0019254A"/>
    <w:rsid w:val="001C1265"/>
    <w:rsid w:val="002048EE"/>
    <w:rsid w:val="00226D32"/>
    <w:rsid w:val="002C502C"/>
    <w:rsid w:val="00335FCE"/>
    <w:rsid w:val="00336220"/>
    <w:rsid w:val="003E06D7"/>
    <w:rsid w:val="0041728C"/>
    <w:rsid w:val="00427040"/>
    <w:rsid w:val="004E5886"/>
    <w:rsid w:val="0051638D"/>
    <w:rsid w:val="00583D57"/>
    <w:rsid w:val="005A15A2"/>
    <w:rsid w:val="006012D2"/>
    <w:rsid w:val="00650364"/>
    <w:rsid w:val="00663997"/>
    <w:rsid w:val="00690C0B"/>
    <w:rsid w:val="006E7C54"/>
    <w:rsid w:val="006F7388"/>
    <w:rsid w:val="00726F09"/>
    <w:rsid w:val="00753BEF"/>
    <w:rsid w:val="008305FB"/>
    <w:rsid w:val="0087681B"/>
    <w:rsid w:val="008C1743"/>
    <w:rsid w:val="00927F1E"/>
    <w:rsid w:val="009713A2"/>
    <w:rsid w:val="00A77746"/>
    <w:rsid w:val="00A93DC8"/>
    <w:rsid w:val="00AA53BA"/>
    <w:rsid w:val="00AB3C80"/>
    <w:rsid w:val="00AD11EA"/>
    <w:rsid w:val="00AE18A3"/>
    <w:rsid w:val="00AE3A38"/>
    <w:rsid w:val="00B23319"/>
    <w:rsid w:val="00BF041C"/>
    <w:rsid w:val="00BF56AE"/>
    <w:rsid w:val="00C36B15"/>
    <w:rsid w:val="00C44837"/>
    <w:rsid w:val="00CF5EFF"/>
    <w:rsid w:val="00D360F9"/>
    <w:rsid w:val="00DF33BA"/>
    <w:rsid w:val="00E53610"/>
    <w:rsid w:val="00E549A6"/>
    <w:rsid w:val="00E86846"/>
    <w:rsid w:val="00E94DC6"/>
    <w:rsid w:val="00EB1591"/>
    <w:rsid w:val="00F43DC9"/>
    <w:rsid w:val="00F462D2"/>
    <w:rsid w:val="00FB5D69"/>
    <w:rsid w:val="00FD1D79"/>
    <w:rsid w:val="00FF6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B02368-A395-443E-954F-872750F2D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3D5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27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4280</Words>
  <Characters>24398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Mikola</dc:creator>
  <cp:keywords/>
  <dc:description/>
  <cp:lastModifiedBy>McDonough, John</cp:lastModifiedBy>
  <cp:revision>2</cp:revision>
  <dcterms:created xsi:type="dcterms:W3CDTF">2019-01-31T00:57:00Z</dcterms:created>
  <dcterms:modified xsi:type="dcterms:W3CDTF">2019-01-31T00:57:00Z</dcterms:modified>
</cp:coreProperties>
</file>